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5F" w:rsidRPr="00116A5F" w:rsidRDefault="00116A5F" w:rsidP="00116A5F">
      <w:pPr>
        <w:widowControl/>
        <w:pBdr>
          <w:bottom w:val="single" w:sz="6" w:space="7" w:color="E7E7EB"/>
        </w:pBdr>
        <w:spacing w:after="190"/>
        <w:jc w:val="left"/>
        <w:outlineLvl w:val="1"/>
        <w:rPr>
          <w:rFonts w:ascii="宋体" w:eastAsia="宋体" w:hAnsi="宋体" w:cs="宋体"/>
          <w:kern w:val="0"/>
          <w:sz w:val="33"/>
          <w:szCs w:val="33"/>
        </w:rPr>
      </w:pPr>
      <w:r w:rsidRPr="00116A5F">
        <w:rPr>
          <w:rFonts w:ascii="宋体" w:eastAsia="宋体" w:hAnsi="宋体" w:cs="宋体"/>
          <w:kern w:val="0"/>
          <w:sz w:val="33"/>
          <w:szCs w:val="33"/>
        </w:rPr>
        <w:t>“甲供材”在“营改增”前后有哪些影响？</w:t>
      </w:r>
    </w:p>
    <w:p w:rsidR="00116A5F" w:rsidRPr="00116A5F" w:rsidRDefault="00116A5F" w:rsidP="00116A5F">
      <w:pPr>
        <w:widowControl/>
        <w:spacing w:line="272" w:lineRule="atLeast"/>
        <w:jc w:val="left"/>
        <w:rPr>
          <w:rFonts w:ascii="宋体" w:eastAsia="宋体" w:hAnsi="宋体" w:cs="宋体"/>
          <w:kern w:val="0"/>
          <w:sz w:val="2"/>
          <w:szCs w:val="2"/>
        </w:rPr>
      </w:pPr>
      <w:r w:rsidRPr="00116A5F">
        <w:rPr>
          <w:rFonts w:ascii="宋体" w:eastAsia="宋体" w:hAnsi="宋体" w:cs="宋体"/>
          <w:color w:val="8C8C8C"/>
          <w:kern w:val="0"/>
          <w:sz w:val="22"/>
        </w:rPr>
        <w:t>2016-02-25</w:t>
      </w:r>
      <w:r w:rsidRPr="00116A5F">
        <w:rPr>
          <w:rFonts w:ascii="宋体" w:eastAsia="宋体" w:hAnsi="宋体" w:cs="宋体"/>
          <w:kern w:val="0"/>
          <w:sz w:val="2"/>
        </w:rPr>
        <w:t> </w:t>
      </w:r>
      <w:hyperlink r:id="rId4" w:history="1">
        <w:r w:rsidRPr="00116A5F">
          <w:rPr>
            <w:rFonts w:ascii="宋体" w:eastAsia="宋体" w:hAnsi="宋体" w:cs="宋体"/>
            <w:vanish/>
            <w:color w:val="607FA6"/>
            <w:kern w:val="0"/>
            <w:sz w:val="22"/>
          </w:rPr>
          <w:t>马楠讲造价</w:t>
        </w:r>
      </w:hyperlink>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来源：中国会计报，作者：刘素材</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00B0F0"/>
          <w:kern w:val="0"/>
          <w:sz w:val="22"/>
        </w:rPr>
        <w:t>所谓</w:t>
      </w:r>
      <w:r w:rsidRPr="00116A5F">
        <w:rPr>
          <w:rFonts w:ascii="Helvetica" w:eastAsia="宋体" w:hAnsi="Helvetica" w:cs="Helvetica"/>
          <w:color w:val="00B0F0"/>
          <w:kern w:val="0"/>
          <w:sz w:val="22"/>
        </w:rPr>
        <w:t>“</w:t>
      </w:r>
      <w:r w:rsidRPr="00116A5F">
        <w:rPr>
          <w:rFonts w:ascii="Helvetica" w:eastAsia="宋体" w:hAnsi="Helvetica" w:cs="Helvetica"/>
          <w:color w:val="00B0F0"/>
          <w:kern w:val="0"/>
          <w:sz w:val="22"/>
        </w:rPr>
        <w:t>甲供材</w:t>
      </w:r>
      <w:r w:rsidRPr="00116A5F">
        <w:rPr>
          <w:rFonts w:ascii="Helvetica" w:eastAsia="宋体" w:hAnsi="Helvetica" w:cs="Helvetica"/>
          <w:color w:val="00B0F0"/>
          <w:kern w:val="0"/>
          <w:sz w:val="22"/>
        </w:rPr>
        <w:t>”</w:t>
      </w:r>
      <w:r w:rsidRPr="00116A5F">
        <w:rPr>
          <w:rFonts w:ascii="Helvetica" w:eastAsia="宋体" w:hAnsi="Helvetica" w:cs="Helvetica"/>
          <w:color w:val="00B0F0"/>
          <w:kern w:val="0"/>
          <w:sz w:val="22"/>
        </w:rPr>
        <w:t>就是甲方提供材料。</w:t>
      </w:r>
      <w:r w:rsidRPr="00116A5F">
        <w:rPr>
          <w:rFonts w:ascii="Helvetica" w:eastAsia="宋体" w:hAnsi="Helvetica" w:cs="Helvetica"/>
          <w:color w:val="3E3E3E"/>
          <w:kern w:val="0"/>
          <w:sz w:val="22"/>
        </w:rPr>
        <w:t>即在建设工程承包合同中，由甲方（建设方）与乙方（承包方）事先在合同中约定由甲方提供主材或工程设备的一种供货方式。</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根据《中华人民共和国建筑法》第二十五条规定和《中华人民共和国建设工程质量管理条例》第十四条的相关规定可以看出，</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在法律层面是合法的，也是允许的。</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对于</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这一普遍存在的现象，在</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营改增</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前后会有完全不同的影响，需要加以注意。下面试举例分析。</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例：</w:t>
      </w:r>
      <w:r w:rsidRPr="00116A5F">
        <w:rPr>
          <w:rFonts w:ascii="Helvetica" w:eastAsia="宋体" w:hAnsi="Helvetica" w:cs="Helvetica"/>
          <w:color w:val="FF0000"/>
          <w:kern w:val="0"/>
          <w:sz w:val="22"/>
        </w:rPr>
        <w:t>某房地产开发公司与</w:t>
      </w:r>
      <w:proofErr w:type="gramStart"/>
      <w:r w:rsidRPr="00116A5F">
        <w:rPr>
          <w:rFonts w:ascii="Helvetica" w:eastAsia="宋体" w:hAnsi="Helvetica" w:cs="Helvetica"/>
          <w:color w:val="FF0000"/>
          <w:kern w:val="0"/>
          <w:sz w:val="22"/>
        </w:rPr>
        <w:t>一</w:t>
      </w:r>
      <w:proofErr w:type="gramEnd"/>
      <w:r w:rsidRPr="00116A5F">
        <w:rPr>
          <w:rFonts w:ascii="Helvetica" w:eastAsia="宋体" w:hAnsi="Helvetica" w:cs="Helvetica"/>
          <w:color w:val="FF0000"/>
          <w:kern w:val="0"/>
          <w:sz w:val="22"/>
        </w:rPr>
        <w:t>建筑工程总承包公司签订了建筑工程承包合同，工程总造价为</w:t>
      </w:r>
      <w:r w:rsidRPr="00116A5F">
        <w:rPr>
          <w:rFonts w:ascii="Helvetica" w:eastAsia="宋体" w:hAnsi="Helvetica" w:cs="Helvetica"/>
          <w:color w:val="FF0000"/>
          <w:kern w:val="0"/>
          <w:sz w:val="22"/>
        </w:rPr>
        <w:t>5000</w:t>
      </w:r>
      <w:r w:rsidRPr="00116A5F">
        <w:rPr>
          <w:rFonts w:ascii="Helvetica" w:eastAsia="宋体" w:hAnsi="Helvetica" w:cs="Helvetica"/>
          <w:color w:val="FF0000"/>
          <w:kern w:val="0"/>
          <w:sz w:val="22"/>
        </w:rPr>
        <w:t>万元，其中商品</w:t>
      </w:r>
      <w:proofErr w:type="gramStart"/>
      <w:r w:rsidRPr="00116A5F">
        <w:rPr>
          <w:rFonts w:ascii="Helvetica" w:eastAsia="宋体" w:hAnsi="Helvetica" w:cs="Helvetica"/>
          <w:color w:val="FF0000"/>
          <w:kern w:val="0"/>
          <w:sz w:val="22"/>
        </w:rPr>
        <w:t>砼</w:t>
      </w:r>
      <w:proofErr w:type="gramEnd"/>
      <w:r w:rsidRPr="00116A5F">
        <w:rPr>
          <w:rFonts w:ascii="Helvetica" w:eastAsia="宋体" w:hAnsi="Helvetica" w:cs="Helvetica"/>
          <w:color w:val="FF0000"/>
          <w:kern w:val="0"/>
          <w:sz w:val="22"/>
        </w:rPr>
        <w:t>500</w:t>
      </w:r>
      <w:r w:rsidRPr="00116A5F">
        <w:rPr>
          <w:rFonts w:ascii="Helvetica" w:eastAsia="宋体" w:hAnsi="Helvetica" w:cs="Helvetica"/>
          <w:color w:val="FF0000"/>
          <w:kern w:val="0"/>
          <w:sz w:val="22"/>
        </w:rPr>
        <w:t>万元，钢筋</w:t>
      </w:r>
      <w:r w:rsidRPr="00116A5F">
        <w:rPr>
          <w:rFonts w:ascii="Helvetica" w:eastAsia="宋体" w:hAnsi="Helvetica" w:cs="Helvetica"/>
          <w:color w:val="FF0000"/>
          <w:kern w:val="0"/>
          <w:sz w:val="22"/>
        </w:rPr>
        <w:t>500</w:t>
      </w:r>
      <w:r w:rsidRPr="00116A5F">
        <w:rPr>
          <w:rFonts w:ascii="Helvetica" w:eastAsia="宋体" w:hAnsi="Helvetica" w:cs="Helvetica"/>
          <w:color w:val="FF0000"/>
          <w:kern w:val="0"/>
          <w:sz w:val="22"/>
        </w:rPr>
        <w:t>万元，约定由房地产公司负责供应。</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营业税下涉税关系复杂</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在现行营业税条件下，</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跨越建筑业和货物销售业两大行业，涉及增值税、营业税两大领域，涉税关系复杂，容易让人产生困惑。</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《营业税暂行条例实施细则》第十六条规定，</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除本细则第七条规定外，纳税人提供建筑业劳务（不含装饰劳务）的，其营业额应当包括工程所用原材料、设备及其他物资和动力价款在内，但不包括建设方提供的设备的价款。</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可知，</w:t>
      </w:r>
      <w:r w:rsidRPr="00116A5F">
        <w:rPr>
          <w:rFonts w:ascii="Helvetica" w:eastAsia="宋体" w:hAnsi="Helvetica" w:cs="Helvetica"/>
          <w:color w:val="00B0F0"/>
          <w:kern w:val="0"/>
          <w:sz w:val="22"/>
        </w:rPr>
        <w:t>除装饰工程之外的其他建筑业劳务所用的原材料、其他物资和动力不论甲方提供还是乙方提供，价款要全部计入到营业额中缴纳营业税，而工程所用的设备，乙方提供的要计入营业额缴纳营业税，甲方提供的则不用包含在营业税的计税依据中。</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涉税关系较为复杂，主要表现在以下</w:t>
      </w:r>
      <w:r w:rsidRPr="00116A5F">
        <w:rPr>
          <w:rFonts w:ascii="Helvetica" w:eastAsia="宋体" w:hAnsi="Helvetica" w:cs="Helvetica"/>
          <w:color w:val="3E3E3E"/>
          <w:kern w:val="0"/>
          <w:sz w:val="22"/>
        </w:rPr>
        <w:t>4</w:t>
      </w:r>
      <w:r w:rsidRPr="00116A5F">
        <w:rPr>
          <w:rFonts w:ascii="Helvetica" w:eastAsia="宋体" w:hAnsi="Helvetica" w:cs="Helvetica"/>
          <w:color w:val="3E3E3E"/>
          <w:kern w:val="0"/>
          <w:sz w:val="22"/>
        </w:rPr>
        <w:t>个方面。</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第一，发票开具问题。</w:t>
      </w:r>
      <w:r w:rsidRPr="00116A5F">
        <w:rPr>
          <w:rFonts w:ascii="Helvetica" w:eastAsia="宋体" w:hAnsi="Helvetica" w:cs="Helvetica"/>
          <w:color w:val="3E3E3E"/>
          <w:kern w:val="0"/>
          <w:sz w:val="22"/>
        </w:rPr>
        <w:t>依据上例甲方提供商品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和钢筋，则甲方需要取得</w:t>
      </w:r>
      <w:r w:rsidRPr="00116A5F">
        <w:rPr>
          <w:rFonts w:ascii="Helvetica" w:eastAsia="宋体" w:hAnsi="Helvetica" w:cs="Helvetica"/>
          <w:color w:val="3E3E3E"/>
          <w:kern w:val="0"/>
          <w:sz w:val="22"/>
        </w:rPr>
        <w:t>500</w:t>
      </w:r>
      <w:r w:rsidRPr="00116A5F">
        <w:rPr>
          <w:rFonts w:ascii="Helvetica" w:eastAsia="宋体" w:hAnsi="Helvetica" w:cs="Helvetica"/>
          <w:color w:val="3E3E3E"/>
          <w:kern w:val="0"/>
          <w:sz w:val="22"/>
        </w:rPr>
        <w:t>万元的商品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500</w:t>
      </w:r>
      <w:r w:rsidRPr="00116A5F">
        <w:rPr>
          <w:rFonts w:ascii="Helvetica" w:eastAsia="宋体" w:hAnsi="Helvetica" w:cs="Helvetica"/>
          <w:color w:val="3E3E3E"/>
          <w:kern w:val="0"/>
          <w:sz w:val="22"/>
        </w:rPr>
        <w:t>万元的钢筋增值税普通发票和</w:t>
      </w:r>
      <w:r w:rsidRPr="00116A5F">
        <w:rPr>
          <w:rFonts w:ascii="Helvetica" w:eastAsia="宋体" w:hAnsi="Helvetica" w:cs="Helvetica"/>
          <w:color w:val="3E3E3E"/>
          <w:kern w:val="0"/>
          <w:sz w:val="22"/>
        </w:rPr>
        <w:t>4000</w:t>
      </w:r>
      <w:r w:rsidRPr="00116A5F">
        <w:rPr>
          <w:rFonts w:ascii="Helvetica" w:eastAsia="宋体" w:hAnsi="Helvetica" w:cs="Helvetica"/>
          <w:color w:val="3E3E3E"/>
          <w:kern w:val="0"/>
          <w:sz w:val="22"/>
        </w:rPr>
        <w:t>万元的建筑业发票。只要</w:t>
      </w:r>
      <w:proofErr w:type="gramStart"/>
      <w:r w:rsidRPr="00116A5F">
        <w:rPr>
          <w:rFonts w:ascii="Helvetica" w:eastAsia="宋体" w:hAnsi="Helvetica" w:cs="Helvetica"/>
          <w:color w:val="3E3E3E"/>
          <w:kern w:val="0"/>
          <w:sz w:val="22"/>
        </w:rPr>
        <w:t>涉及甲供材</w:t>
      </w:r>
      <w:proofErr w:type="gramEnd"/>
      <w:r w:rsidRPr="00116A5F">
        <w:rPr>
          <w:rFonts w:ascii="Helvetica" w:eastAsia="宋体" w:hAnsi="Helvetica" w:cs="Helvetica"/>
          <w:color w:val="3E3E3E"/>
          <w:kern w:val="0"/>
          <w:sz w:val="22"/>
        </w:rPr>
        <w:t>甲方就要取得两种类别的发票，根据这两种不同发票入账，计入开发成本。</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第二，税款缴纳问题。</w:t>
      </w:r>
      <w:r w:rsidRPr="00116A5F">
        <w:rPr>
          <w:rFonts w:ascii="Helvetica" w:eastAsia="宋体" w:hAnsi="Helvetica" w:cs="Helvetica"/>
          <w:color w:val="3E3E3E"/>
          <w:kern w:val="0"/>
          <w:sz w:val="22"/>
        </w:rPr>
        <w:t>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和钢筋虽然是甲方采购，乙方只是利用甲方采购的商品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和钢筋提供建筑业劳务，但根据上述营业税规定，乙方营业税的计税基础为</w:t>
      </w:r>
      <w:r w:rsidRPr="00116A5F">
        <w:rPr>
          <w:rFonts w:ascii="Helvetica" w:eastAsia="宋体" w:hAnsi="Helvetica" w:cs="Helvetica"/>
          <w:color w:val="3E3E3E"/>
          <w:kern w:val="0"/>
          <w:sz w:val="22"/>
        </w:rPr>
        <w:t>5000</w:t>
      </w:r>
      <w:r w:rsidRPr="00116A5F">
        <w:rPr>
          <w:rFonts w:ascii="Helvetica" w:eastAsia="宋体" w:hAnsi="Helvetica" w:cs="Helvetica"/>
          <w:color w:val="3E3E3E"/>
          <w:kern w:val="0"/>
          <w:sz w:val="22"/>
        </w:rPr>
        <w:t>万元（</w:t>
      </w:r>
      <w:r w:rsidRPr="00116A5F">
        <w:rPr>
          <w:rFonts w:ascii="Helvetica" w:eastAsia="宋体" w:hAnsi="Helvetica" w:cs="Helvetica"/>
          <w:color w:val="3E3E3E"/>
          <w:kern w:val="0"/>
          <w:sz w:val="22"/>
        </w:rPr>
        <w:t>4000+1000</w:t>
      </w:r>
      <w:r w:rsidRPr="00116A5F">
        <w:rPr>
          <w:rFonts w:ascii="Helvetica" w:eastAsia="宋体" w:hAnsi="Helvetica" w:cs="Helvetica"/>
          <w:color w:val="3E3E3E"/>
          <w:kern w:val="0"/>
          <w:sz w:val="22"/>
        </w:rPr>
        <w:t>），乙方需要缴纳营业税</w:t>
      </w:r>
      <w:r w:rsidRPr="00116A5F">
        <w:rPr>
          <w:rFonts w:ascii="Helvetica" w:eastAsia="宋体" w:hAnsi="Helvetica" w:cs="Helvetica"/>
          <w:color w:val="3E3E3E"/>
          <w:kern w:val="0"/>
          <w:sz w:val="22"/>
        </w:rPr>
        <w:t>150</w:t>
      </w:r>
      <w:r w:rsidRPr="00116A5F">
        <w:rPr>
          <w:rFonts w:ascii="Helvetica" w:eastAsia="宋体" w:hAnsi="Helvetica" w:cs="Helvetica"/>
          <w:color w:val="3E3E3E"/>
          <w:kern w:val="0"/>
          <w:sz w:val="22"/>
        </w:rPr>
        <w:t>万元，并且税款的缴纳主体只能是乙方。</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lastRenderedPageBreak/>
        <w:t>第三，税款负担问题。</w:t>
      </w:r>
      <w:r w:rsidRPr="00116A5F">
        <w:rPr>
          <w:rFonts w:ascii="Helvetica" w:eastAsia="宋体" w:hAnsi="Helvetica" w:cs="Helvetica"/>
          <w:color w:val="3E3E3E"/>
          <w:kern w:val="0"/>
          <w:sz w:val="22"/>
        </w:rPr>
        <w:t>乙方缴纳</w:t>
      </w:r>
      <w:proofErr w:type="gramStart"/>
      <w:r w:rsidRPr="00116A5F">
        <w:rPr>
          <w:rFonts w:ascii="Helvetica" w:eastAsia="宋体" w:hAnsi="Helvetica" w:cs="Helvetica"/>
          <w:color w:val="3E3E3E"/>
          <w:kern w:val="0"/>
          <w:sz w:val="22"/>
        </w:rPr>
        <w:t>了甲供的</w:t>
      </w:r>
      <w:proofErr w:type="gramEnd"/>
      <w:r w:rsidRPr="00116A5F">
        <w:rPr>
          <w:rFonts w:ascii="Helvetica" w:eastAsia="宋体" w:hAnsi="Helvetica" w:cs="Helvetica"/>
          <w:color w:val="3E3E3E"/>
          <w:kern w:val="0"/>
          <w:sz w:val="22"/>
        </w:rPr>
        <w:t>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和钢筋的营业税税款</w:t>
      </w:r>
      <w:r w:rsidRPr="00116A5F">
        <w:rPr>
          <w:rFonts w:ascii="Helvetica" w:eastAsia="宋体" w:hAnsi="Helvetica" w:cs="Helvetica"/>
          <w:color w:val="3E3E3E"/>
          <w:kern w:val="0"/>
          <w:sz w:val="22"/>
        </w:rPr>
        <w:t>30</w:t>
      </w:r>
      <w:r w:rsidRPr="00116A5F">
        <w:rPr>
          <w:rFonts w:ascii="Helvetica" w:eastAsia="宋体" w:hAnsi="Helvetica" w:cs="Helvetica"/>
          <w:color w:val="3E3E3E"/>
          <w:kern w:val="0"/>
          <w:sz w:val="22"/>
        </w:rPr>
        <w:t>万元。这让一些人不理解，认为不合理</w:t>
      </w:r>
      <w:r w:rsidRPr="00116A5F">
        <w:rPr>
          <w:rFonts w:ascii="Helvetica" w:eastAsia="宋体" w:hAnsi="Helvetica" w:cs="Helvetica"/>
          <w:color w:val="3E3E3E"/>
          <w:kern w:val="0"/>
          <w:sz w:val="22"/>
        </w:rPr>
        <w:t>-- -</w:t>
      </w:r>
      <w:r w:rsidRPr="00116A5F">
        <w:rPr>
          <w:rFonts w:ascii="Helvetica" w:eastAsia="宋体" w:hAnsi="Helvetica" w:cs="Helvetica"/>
          <w:color w:val="3E3E3E"/>
          <w:kern w:val="0"/>
          <w:sz w:val="22"/>
        </w:rPr>
        <w:t>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和钢筋并非乙方采购却要乙方缴纳相应的税款。其实税款的缴纳者并不意味着就是税款的负担者。根据计价规范的相关规定，一个单位工程价款是由分部分项工程费、措施项目费、其他项目费、</w:t>
      </w:r>
      <w:proofErr w:type="gramStart"/>
      <w:r w:rsidRPr="00116A5F">
        <w:rPr>
          <w:rFonts w:ascii="Helvetica" w:eastAsia="宋体" w:hAnsi="Helvetica" w:cs="Helvetica"/>
          <w:color w:val="3E3E3E"/>
          <w:kern w:val="0"/>
          <w:sz w:val="22"/>
        </w:rPr>
        <w:t>规</w:t>
      </w:r>
      <w:proofErr w:type="gramEnd"/>
      <w:r w:rsidRPr="00116A5F">
        <w:rPr>
          <w:rFonts w:ascii="Helvetica" w:eastAsia="宋体" w:hAnsi="Helvetica" w:cs="Helvetica"/>
          <w:color w:val="3E3E3E"/>
          <w:kern w:val="0"/>
          <w:sz w:val="22"/>
        </w:rPr>
        <w:t>费和税金</w:t>
      </w:r>
      <w:r w:rsidRPr="00116A5F">
        <w:rPr>
          <w:rFonts w:ascii="Helvetica" w:eastAsia="宋体" w:hAnsi="Helvetica" w:cs="Helvetica"/>
          <w:color w:val="3E3E3E"/>
          <w:kern w:val="0"/>
          <w:sz w:val="22"/>
        </w:rPr>
        <w:t>5</w:t>
      </w:r>
      <w:r w:rsidRPr="00116A5F">
        <w:rPr>
          <w:rFonts w:ascii="Helvetica" w:eastAsia="宋体" w:hAnsi="Helvetica" w:cs="Helvetica"/>
          <w:color w:val="3E3E3E"/>
          <w:kern w:val="0"/>
          <w:sz w:val="22"/>
        </w:rPr>
        <w:t>部分组成。从工程造价过程看，不管是谁提供了工程材料，其价款都要全部计入到分部分项工程费中，构成工程实体，再加上非实体的措施项目费、其他项目费和</w:t>
      </w:r>
      <w:proofErr w:type="gramStart"/>
      <w:r w:rsidRPr="00116A5F">
        <w:rPr>
          <w:rFonts w:ascii="Helvetica" w:eastAsia="宋体" w:hAnsi="Helvetica" w:cs="Helvetica"/>
          <w:color w:val="3E3E3E"/>
          <w:kern w:val="0"/>
          <w:sz w:val="22"/>
        </w:rPr>
        <w:t>规费</w:t>
      </w:r>
      <w:proofErr w:type="gramEnd"/>
      <w:r w:rsidRPr="00116A5F">
        <w:rPr>
          <w:rFonts w:ascii="Helvetica" w:eastAsia="宋体" w:hAnsi="Helvetica" w:cs="Helvetica"/>
          <w:color w:val="3E3E3E"/>
          <w:kern w:val="0"/>
          <w:sz w:val="22"/>
        </w:rPr>
        <w:t>，这四项一起构成税金的取费基础从而计取税金，所以可得出</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的这部分税金已经包含在承包工程的合同价款中由乙方计取了营业税及其附加。即这部分税款最终是由甲方承担的。</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第四，材料和设备、装饰劳务和其他建筑业劳务的区分。</w:t>
      </w:r>
      <w:r w:rsidRPr="00116A5F">
        <w:rPr>
          <w:rFonts w:ascii="Helvetica" w:eastAsia="宋体" w:hAnsi="Helvetica" w:cs="Helvetica"/>
          <w:color w:val="3E3E3E"/>
          <w:kern w:val="0"/>
          <w:sz w:val="22"/>
        </w:rPr>
        <w:t>相对于</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，由于</w:t>
      </w:r>
      <w:proofErr w:type="gramStart"/>
      <w:r w:rsidRPr="00116A5F">
        <w:rPr>
          <w:rFonts w:ascii="Helvetica" w:eastAsia="宋体" w:hAnsi="Helvetica" w:cs="Helvetica"/>
          <w:color w:val="3E3E3E"/>
          <w:kern w:val="0"/>
          <w:sz w:val="22"/>
        </w:rPr>
        <w:t>甲供设备</w:t>
      </w:r>
      <w:proofErr w:type="gramEnd"/>
      <w:r w:rsidRPr="00116A5F">
        <w:rPr>
          <w:rFonts w:ascii="Helvetica" w:eastAsia="宋体" w:hAnsi="Helvetica" w:cs="Helvetica"/>
          <w:color w:val="3E3E3E"/>
          <w:kern w:val="0"/>
          <w:sz w:val="22"/>
        </w:rPr>
        <w:t>不需要缴纳营业税，所以材料和设备的区分就变得尤为关键。虽然各省级地税机关大都出台了设备清单文件、目录等，但实际中情况复杂多变，设备和材料的准确划分并不容易，极易引起税企争议，产生涉税风险。同样由于装饰劳务中清包工作业的情况下，其营业税计税依据中也不</w:t>
      </w:r>
      <w:proofErr w:type="gramStart"/>
      <w:r w:rsidRPr="00116A5F">
        <w:rPr>
          <w:rFonts w:ascii="Helvetica" w:eastAsia="宋体" w:hAnsi="Helvetica" w:cs="Helvetica"/>
          <w:color w:val="3E3E3E"/>
          <w:kern w:val="0"/>
          <w:sz w:val="22"/>
        </w:rPr>
        <w:t>包含甲供材部分</w:t>
      </w:r>
      <w:proofErr w:type="gramEnd"/>
      <w:r w:rsidRPr="00116A5F">
        <w:rPr>
          <w:rFonts w:ascii="Helvetica" w:eastAsia="宋体" w:hAnsi="Helvetica" w:cs="Helvetica"/>
          <w:color w:val="3E3E3E"/>
          <w:kern w:val="0"/>
          <w:sz w:val="22"/>
        </w:rPr>
        <w:t>的价款，所以一些人就混淆装饰劳务与其他建筑业劳务的区别，以逃避税款，这同样会给企业带来很大的涉税风险。</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综上营业税下</w:t>
      </w:r>
      <w:proofErr w:type="gramStart"/>
      <w:r w:rsidRPr="00116A5F">
        <w:rPr>
          <w:rFonts w:ascii="Helvetica" w:eastAsia="宋体" w:hAnsi="Helvetica" w:cs="Helvetica"/>
          <w:color w:val="3E3E3E"/>
          <w:kern w:val="0"/>
          <w:sz w:val="22"/>
        </w:rPr>
        <w:t>甲供材</w:t>
      </w:r>
      <w:proofErr w:type="gramEnd"/>
      <w:r w:rsidRPr="00116A5F">
        <w:rPr>
          <w:rFonts w:ascii="Helvetica" w:eastAsia="宋体" w:hAnsi="Helvetica" w:cs="Helvetica"/>
          <w:color w:val="3E3E3E"/>
          <w:kern w:val="0"/>
          <w:sz w:val="22"/>
        </w:rPr>
        <w:t>涉税关系复杂，要求企业熟知政策，做好日常的基础工作，防范税务风险。</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w:t>
      </w:r>
      <w:r w:rsidRPr="00116A5F">
        <w:rPr>
          <w:rFonts w:ascii="Helvetica" w:eastAsia="宋体" w:hAnsi="Helvetica" w:cs="Helvetica"/>
          <w:b/>
          <w:bCs/>
          <w:color w:val="3E3E3E"/>
          <w:kern w:val="0"/>
          <w:sz w:val="22"/>
        </w:rPr>
        <w:t>营改增</w:t>
      </w:r>
      <w:r w:rsidRPr="00116A5F">
        <w:rPr>
          <w:rFonts w:ascii="Helvetica" w:eastAsia="宋体" w:hAnsi="Helvetica" w:cs="Helvetica"/>
          <w:b/>
          <w:bCs/>
          <w:color w:val="3E3E3E"/>
          <w:kern w:val="0"/>
          <w:sz w:val="22"/>
        </w:rPr>
        <w:t>”</w:t>
      </w:r>
      <w:r w:rsidRPr="00116A5F">
        <w:rPr>
          <w:rFonts w:ascii="Helvetica" w:eastAsia="宋体" w:hAnsi="Helvetica" w:cs="Helvetica"/>
          <w:b/>
          <w:bCs/>
          <w:color w:val="3E3E3E"/>
          <w:kern w:val="0"/>
          <w:sz w:val="22"/>
        </w:rPr>
        <w:t>后税款抵扣要考虑周详</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自</w:t>
      </w:r>
      <w:r w:rsidRPr="00116A5F">
        <w:rPr>
          <w:rFonts w:ascii="Helvetica" w:eastAsia="宋体" w:hAnsi="Helvetica" w:cs="Helvetica"/>
          <w:color w:val="3E3E3E"/>
          <w:kern w:val="0"/>
          <w:sz w:val="22"/>
        </w:rPr>
        <w:t>2012</w:t>
      </w:r>
      <w:r w:rsidRPr="00116A5F">
        <w:rPr>
          <w:rFonts w:ascii="Helvetica" w:eastAsia="宋体" w:hAnsi="Helvetica" w:cs="Helvetica"/>
          <w:color w:val="3E3E3E"/>
          <w:kern w:val="0"/>
          <w:sz w:val="22"/>
        </w:rPr>
        <w:t>年</w:t>
      </w:r>
      <w:r w:rsidRPr="00116A5F">
        <w:rPr>
          <w:rFonts w:ascii="Helvetica" w:eastAsia="宋体" w:hAnsi="Helvetica" w:cs="Helvetica"/>
          <w:color w:val="3E3E3E"/>
          <w:kern w:val="0"/>
          <w:sz w:val="22"/>
        </w:rPr>
        <w:t>1</w:t>
      </w:r>
      <w:r w:rsidRPr="00116A5F">
        <w:rPr>
          <w:rFonts w:ascii="Helvetica" w:eastAsia="宋体" w:hAnsi="Helvetica" w:cs="Helvetica"/>
          <w:color w:val="3E3E3E"/>
          <w:kern w:val="0"/>
          <w:sz w:val="22"/>
        </w:rPr>
        <w:t>月</w:t>
      </w:r>
      <w:r w:rsidRPr="00116A5F">
        <w:rPr>
          <w:rFonts w:ascii="Helvetica" w:eastAsia="宋体" w:hAnsi="Helvetica" w:cs="Helvetica"/>
          <w:color w:val="3E3E3E"/>
          <w:kern w:val="0"/>
          <w:sz w:val="22"/>
        </w:rPr>
        <w:t>1</w:t>
      </w:r>
      <w:r w:rsidRPr="00116A5F">
        <w:rPr>
          <w:rFonts w:ascii="Helvetica" w:eastAsia="宋体" w:hAnsi="Helvetica" w:cs="Helvetica"/>
          <w:color w:val="3E3E3E"/>
          <w:kern w:val="0"/>
          <w:sz w:val="22"/>
        </w:rPr>
        <w:t>日上海市率先试点交通运输业和部分现代服务业</w:t>
      </w:r>
      <w:proofErr w:type="gramStart"/>
      <w:r w:rsidRPr="00116A5F">
        <w:rPr>
          <w:rFonts w:ascii="Helvetica" w:eastAsia="宋体" w:hAnsi="Helvetica" w:cs="Helvetica"/>
          <w:color w:val="3E3E3E"/>
          <w:kern w:val="0"/>
          <w:sz w:val="22"/>
        </w:rPr>
        <w:t>营改增以来</w:t>
      </w:r>
      <w:proofErr w:type="gramEnd"/>
      <w:r w:rsidRPr="00116A5F">
        <w:rPr>
          <w:rFonts w:ascii="Helvetica" w:eastAsia="宋体" w:hAnsi="Helvetica" w:cs="Helvetica"/>
          <w:color w:val="3E3E3E"/>
          <w:kern w:val="0"/>
          <w:sz w:val="22"/>
        </w:rPr>
        <w:t>，至今已在全部的交通运输业、邮政服务业、电信业和部分现代服务业全面推开。目前</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营改增</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正处于继续推进、</w:t>
      </w:r>
      <w:proofErr w:type="gramStart"/>
      <w:r w:rsidRPr="00116A5F">
        <w:rPr>
          <w:rFonts w:ascii="Helvetica" w:eastAsia="宋体" w:hAnsi="Helvetica" w:cs="Helvetica"/>
          <w:color w:val="3E3E3E"/>
          <w:kern w:val="0"/>
          <w:sz w:val="22"/>
        </w:rPr>
        <w:t>扩围阶段</w:t>
      </w:r>
      <w:proofErr w:type="gramEnd"/>
      <w:r w:rsidRPr="00116A5F">
        <w:rPr>
          <w:rFonts w:ascii="Helvetica" w:eastAsia="宋体" w:hAnsi="Helvetica" w:cs="Helvetica"/>
          <w:color w:val="3E3E3E"/>
          <w:kern w:val="0"/>
          <w:sz w:val="22"/>
        </w:rPr>
        <w:t>，多档税率并存，计有</w:t>
      </w:r>
      <w:r w:rsidRPr="00116A5F">
        <w:rPr>
          <w:rFonts w:ascii="Helvetica" w:eastAsia="宋体" w:hAnsi="Helvetica" w:cs="Helvetica"/>
          <w:color w:val="3E3E3E"/>
          <w:kern w:val="0"/>
          <w:sz w:val="22"/>
        </w:rPr>
        <w:t>17%</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13%</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11%</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6%</w:t>
      </w:r>
      <w:r w:rsidRPr="00116A5F">
        <w:rPr>
          <w:rFonts w:ascii="Helvetica" w:eastAsia="宋体" w:hAnsi="Helvetica" w:cs="Helvetica"/>
          <w:color w:val="3E3E3E"/>
          <w:kern w:val="0"/>
          <w:sz w:val="22"/>
        </w:rPr>
        <w:t>税率和</w:t>
      </w:r>
      <w:r w:rsidRPr="00116A5F">
        <w:rPr>
          <w:rFonts w:ascii="Helvetica" w:eastAsia="宋体" w:hAnsi="Helvetica" w:cs="Helvetica"/>
          <w:color w:val="3E3E3E"/>
          <w:kern w:val="0"/>
          <w:sz w:val="22"/>
        </w:rPr>
        <w:t>3%</w:t>
      </w:r>
      <w:r w:rsidRPr="00116A5F">
        <w:rPr>
          <w:rFonts w:ascii="Helvetica" w:eastAsia="宋体" w:hAnsi="Helvetica" w:cs="Helvetica"/>
          <w:color w:val="3E3E3E"/>
          <w:kern w:val="0"/>
          <w:sz w:val="22"/>
        </w:rPr>
        <w:t>征收率五档。建筑业和房地产业的增值税税率预计可能为</w:t>
      </w:r>
      <w:r w:rsidRPr="00116A5F">
        <w:rPr>
          <w:rFonts w:ascii="Helvetica" w:eastAsia="宋体" w:hAnsi="Helvetica" w:cs="Helvetica"/>
          <w:color w:val="3E3E3E"/>
          <w:kern w:val="0"/>
          <w:sz w:val="22"/>
        </w:rPr>
        <w:t>11%</w:t>
      </w:r>
      <w:r w:rsidRPr="00116A5F">
        <w:rPr>
          <w:rFonts w:ascii="Helvetica" w:eastAsia="宋体" w:hAnsi="Helvetica" w:cs="Helvetica"/>
          <w:color w:val="3E3E3E"/>
          <w:kern w:val="0"/>
          <w:sz w:val="22"/>
        </w:rPr>
        <w:t>。</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00B0F0"/>
          <w:kern w:val="0"/>
          <w:sz w:val="22"/>
        </w:rPr>
        <w:t>建筑业、房地产业全部改为增值税后，</w:t>
      </w:r>
      <w:proofErr w:type="gramStart"/>
      <w:r w:rsidRPr="00116A5F">
        <w:rPr>
          <w:rFonts w:ascii="Helvetica" w:eastAsia="宋体" w:hAnsi="Helvetica" w:cs="Helvetica"/>
          <w:color w:val="00B0F0"/>
          <w:kern w:val="0"/>
          <w:sz w:val="22"/>
        </w:rPr>
        <w:t>甲供材</w:t>
      </w:r>
      <w:proofErr w:type="gramEnd"/>
      <w:r w:rsidRPr="00116A5F">
        <w:rPr>
          <w:rFonts w:ascii="Helvetica" w:eastAsia="宋体" w:hAnsi="Helvetica" w:cs="Helvetica"/>
          <w:color w:val="00B0F0"/>
          <w:kern w:val="0"/>
          <w:sz w:val="22"/>
        </w:rPr>
        <w:t>的货物和建筑业的劳务都是同一个税种</w:t>
      </w:r>
      <w:r w:rsidRPr="00116A5F">
        <w:rPr>
          <w:rFonts w:ascii="Helvetica" w:eastAsia="宋体" w:hAnsi="Helvetica" w:cs="Helvetica"/>
          <w:color w:val="00B0F0"/>
          <w:kern w:val="0"/>
          <w:sz w:val="22"/>
        </w:rPr>
        <w:t>--</w:t>
      </w:r>
      <w:r w:rsidRPr="00116A5F">
        <w:rPr>
          <w:rFonts w:ascii="Helvetica" w:eastAsia="宋体" w:hAnsi="Helvetica" w:cs="Helvetica"/>
          <w:color w:val="00B0F0"/>
          <w:kern w:val="0"/>
          <w:sz w:val="22"/>
        </w:rPr>
        <w:t>增值税，营业税条件下税务处理的涉税难点、风险将全部消除。</w:t>
      </w:r>
      <w:r w:rsidRPr="00116A5F">
        <w:rPr>
          <w:rFonts w:ascii="Helvetica" w:eastAsia="宋体" w:hAnsi="Helvetica" w:cs="Helvetica"/>
          <w:color w:val="3E3E3E"/>
          <w:kern w:val="0"/>
          <w:sz w:val="22"/>
        </w:rPr>
        <w:t>但与房地产、建筑业相关的货物或劳务种类繁多，几乎各档税率都可能涉及。对应的税率不同就会有完全不同的抵扣结果，所以企业要考虑周详，特别要注意以下两点。</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第一，谁采购？谁抵扣？</w:t>
      </w:r>
      <w:r w:rsidRPr="00116A5F">
        <w:rPr>
          <w:rFonts w:ascii="Helvetica" w:eastAsia="宋体" w:hAnsi="Helvetica" w:cs="Helvetica"/>
          <w:color w:val="00B0F0"/>
          <w:kern w:val="0"/>
          <w:sz w:val="22"/>
        </w:rPr>
        <w:t>由于</w:t>
      </w:r>
      <w:proofErr w:type="gramStart"/>
      <w:r w:rsidRPr="00116A5F">
        <w:rPr>
          <w:rFonts w:ascii="Helvetica" w:eastAsia="宋体" w:hAnsi="Helvetica" w:cs="Helvetica"/>
          <w:color w:val="00B0F0"/>
          <w:kern w:val="0"/>
          <w:sz w:val="22"/>
        </w:rPr>
        <w:t>甲供材</w:t>
      </w:r>
      <w:proofErr w:type="gramEnd"/>
      <w:r w:rsidRPr="00116A5F">
        <w:rPr>
          <w:rFonts w:ascii="Helvetica" w:eastAsia="宋体" w:hAnsi="Helvetica" w:cs="Helvetica"/>
          <w:color w:val="00B0F0"/>
          <w:kern w:val="0"/>
          <w:sz w:val="22"/>
        </w:rPr>
        <w:t>一般为大宗材料，金额大、税款多，谁</w:t>
      </w:r>
      <w:proofErr w:type="gramStart"/>
      <w:r w:rsidRPr="00116A5F">
        <w:rPr>
          <w:rFonts w:ascii="Helvetica" w:eastAsia="宋体" w:hAnsi="Helvetica" w:cs="Helvetica"/>
          <w:color w:val="00B0F0"/>
          <w:kern w:val="0"/>
          <w:sz w:val="22"/>
        </w:rPr>
        <w:t>采购谁</w:t>
      </w:r>
      <w:proofErr w:type="gramEnd"/>
      <w:r w:rsidRPr="00116A5F">
        <w:rPr>
          <w:rFonts w:ascii="Helvetica" w:eastAsia="宋体" w:hAnsi="Helvetica" w:cs="Helvetica"/>
          <w:color w:val="00B0F0"/>
          <w:kern w:val="0"/>
          <w:sz w:val="22"/>
        </w:rPr>
        <w:t>将享受税款抵扣的好处。</w:t>
      </w:r>
      <w:r w:rsidRPr="00116A5F">
        <w:rPr>
          <w:rFonts w:ascii="Helvetica" w:eastAsia="宋体" w:hAnsi="Helvetica" w:cs="Helvetica"/>
          <w:color w:val="3E3E3E"/>
          <w:kern w:val="0"/>
          <w:sz w:val="22"/>
        </w:rPr>
        <w:t>但在建筑市场中甲方居于主导地位，这种强势的地位，或可导致甲方将易于取得增值税专用发票的材料、设备、构配件等自己来采购，而将难于取得发票的砂、土、石料等交由乙方采购。这样对甲乙双方的税负将产生很大的影响。所以</w:t>
      </w:r>
      <w:proofErr w:type="gramStart"/>
      <w:r w:rsidRPr="00116A5F">
        <w:rPr>
          <w:rFonts w:ascii="Helvetica" w:eastAsia="宋体" w:hAnsi="Helvetica" w:cs="Helvetica"/>
          <w:color w:val="3E3E3E"/>
          <w:kern w:val="0"/>
          <w:sz w:val="22"/>
        </w:rPr>
        <w:t>营改增</w:t>
      </w:r>
      <w:proofErr w:type="gramEnd"/>
      <w:r w:rsidRPr="00116A5F">
        <w:rPr>
          <w:rFonts w:ascii="Helvetica" w:eastAsia="宋体" w:hAnsi="Helvetica" w:cs="Helvetica"/>
          <w:color w:val="3E3E3E"/>
          <w:kern w:val="0"/>
          <w:sz w:val="22"/>
        </w:rPr>
        <w:t>后要解决好谁采购、谁抵扣的问题。</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b/>
          <w:bCs/>
          <w:color w:val="3E3E3E"/>
          <w:kern w:val="0"/>
          <w:sz w:val="22"/>
        </w:rPr>
        <w:t>第二，如何抵扣？</w:t>
      </w:r>
      <w:r w:rsidRPr="00116A5F">
        <w:rPr>
          <w:rFonts w:ascii="Helvetica" w:eastAsia="宋体" w:hAnsi="Helvetica" w:cs="Helvetica"/>
          <w:color w:val="3E3E3E"/>
          <w:kern w:val="0"/>
          <w:sz w:val="22"/>
        </w:rPr>
        <w:t>虽然谁</w:t>
      </w:r>
      <w:proofErr w:type="gramStart"/>
      <w:r w:rsidRPr="00116A5F">
        <w:rPr>
          <w:rFonts w:ascii="Helvetica" w:eastAsia="宋体" w:hAnsi="Helvetica" w:cs="Helvetica"/>
          <w:color w:val="3E3E3E"/>
          <w:kern w:val="0"/>
          <w:sz w:val="22"/>
        </w:rPr>
        <w:t>采购谁</w:t>
      </w:r>
      <w:proofErr w:type="gramEnd"/>
      <w:r w:rsidRPr="00116A5F">
        <w:rPr>
          <w:rFonts w:ascii="Helvetica" w:eastAsia="宋体" w:hAnsi="Helvetica" w:cs="Helvetica"/>
          <w:color w:val="3E3E3E"/>
          <w:kern w:val="0"/>
          <w:sz w:val="22"/>
        </w:rPr>
        <w:t>将抵扣税款，但能抵扣税款并不意味着税负一定降低。假定建筑业和房地产业的增值税税率都定为</w:t>
      </w:r>
      <w:r w:rsidRPr="00116A5F">
        <w:rPr>
          <w:rFonts w:ascii="Helvetica" w:eastAsia="宋体" w:hAnsi="Helvetica" w:cs="Helvetica"/>
          <w:color w:val="3E3E3E"/>
          <w:kern w:val="0"/>
          <w:sz w:val="22"/>
        </w:rPr>
        <w:t>11%</w:t>
      </w:r>
      <w:r w:rsidRPr="00116A5F">
        <w:rPr>
          <w:rFonts w:ascii="Helvetica" w:eastAsia="宋体" w:hAnsi="Helvetica" w:cs="Helvetica"/>
          <w:color w:val="3E3E3E"/>
          <w:kern w:val="0"/>
          <w:sz w:val="22"/>
        </w:rPr>
        <w:t>。那么采购</w:t>
      </w:r>
      <w:r w:rsidRPr="00116A5F">
        <w:rPr>
          <w:rFonts w:ascii="Helvetica" w:eastAsia="宋体" w:hAnsi="Helvetica" w:cs="Helvetica"/>
          <w:color w:val="3E3E3E"/>
          <w:kern w:val="0"/>
          <w:sz w:val="22"/>
        </w:rPr>
        <w:t>17%</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13%</w:t>
      </w:r>
      <w:r w:rsidRPr="00116A5F">
        <w:rPr>
          <w:rFonts w:ascii="Helvetica" w:eastAsia="宋体" w:hAnsi="Helvetica" w:cs="Helvetica"/>
          <w:color w:val="3E3E3E"/>
          <w:kern w:val="0"/>
          <w:sz w:val="22"/>
        </w:rPr>
        <w:t>税率的货物、劳务，将获得</w:t>
      </w:r>
      <w:r w:rsidRPr="00116A5F">
        <w:rPr>
          <w:rFonts w:ascii="Helvetica" w:eastAsia="宋体" w:hAnsi="Helvetica" w:cs="Helvetica"/>
          <w:color w:val="3E3E3E"/>
          <w:kern w:val="0"/>
          <w:sz w:val="22"/>
        </w:rPr>
        <w:t>6%</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2%</w:t>
      </w:r>
      <w:r w:rsidRPr="00116A5F">
        <w:rPr>
          <w:rFonts w:ascii="Helvetica" w:eastAsia="宋体" w:hAnsi="Helvetica" w:cs="Helvetica"/>
          <w:color w:val="3E3E3E"/>
          <w:kern w:val="0"/>
          <w:sz w:val="22"/>
        </w:rPr>
        <w:t>税差收益；采购</w:t>
      </w:r>
      <w:r w:rsidRPr="00116A5F">
        <w:rPr>
          <w:rFonts w:ascii="Helvetica" w:eastAsia="宋体" w:hAnsi="Helvetica" w:cs="Helvetica"/>
          <w:color w:val="3E3E3E"/>
          <w:kern w:val="0"/>
          <w:sz w:val="22"/>
        </w:rPr>
        <w:t>6%</w:t>
      </w:r>
      <w:r w:rsidRPr="00116A5F">
        <w:rPr>
          <w:rFonts w:ascii="Helvetica" w:eastAsia="宋体" w:hAnsi="Helvetica" w:cs="Helvetica"/>
          <w:color w:val="3E3E3E"/>
          <w:kern w:val="0"/>
          <w:sz w:val="22"/>
        </w:rPr>
        <w:t>税率、</w:t>
      </w:r>
      <w:r w:rsidRPr="00116A5F">
        <w:rPr>
          <w:rFonts w:ascii="Helvetica" w:eastAsia="宋体" w:hAnsi="Helvetica" w:cs="Helvetica"/>
          <w:color w:val="3E3E3E"/>
          <w:kern w:val="0"/>
          <w:sz w:val="22"/>
        </w:rPr>
        <w:t>3%</w:t>
      </w:r>
      <w:r w:rsidRPr="00116A5F">
        <w:rPr>
          <w:rFonts w:ascii="Helvetica" w:eastAsia="宋体" w:hAnsi="Helvetica" w:cs="Helvetica"/>
          <w:color w:val="3E3E3E"/>
          <w:kern w:val="0"/>
          <w:sz w:val="22"/>
        </w:rPr>
        <w:t>征收率的货物、劳务，将损失</w:t>
      </w:r>
      <w:r w:rsidRPr="00116A5F">
        <w:rPr>
          <w:rFonts w:ascii="Helvetica" w:eastAsia="宋体" w:hAnsi="Helvetica" w:cs="Helvetica"/>
          <w:color w:val="3E3E3E"/>
          <w:kern w:val="0"/>
          <w:sz w:val="22"/>
        </w:rPr>
        <w:t>5%</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lastRenderedPageBreak/>
        <w:t>8%</w:t>
      </w:r>
      <w:r w:rsidRPr="00116A5F">
        <w:rPr>
          <w:rFonts w:ascii="Helvetica" w:eastAsia="宋体" w:hAnsi="Helvetica" w:cs="Helvetica"/>
          <w:color w:val="3E3E3E"/>
          <w:kern w:val="0"/>
          <w:sz w:val="22"/>
        </w:rPr>
        <w:t>税差；采购</w:t>
      </w:r>
      <w:r w:rsidRPr="00116A5F">
        <w:rPr>
          <w:rFonts w:ascii="Helvetica" w:eastAsia="宋体" w:hAnsi="Helvetica" w:cs="Helvetica"/>
          <w:color w:val="3E3E3E"/>
          <w:kern w:val="0"/>
          <w:sz w:val="22"/>
        </w:rPr>
        <w:t>11%</w:t>
      </w:r>
      <w:r w:rsidRPr="00116A5F">
        <w:rPr>
          <w:rFonts w:ascii="Helvetica" w:eastAsia="宋体" w:hAnsi="Helvetica" w:cs="Helvetica"/>
          <w:color w:val="3E3E3E"/>
          <w:kern w:val="0"/>
          <w:sz w:val="22"/>
        </w:rPr>
        <w:t>税率的货物、劳务，进项销项税差将维持平衡。所以企业要根据材料、劳务的类别、分</w:t>
      </w:r>
      <w:r w:rsidRPr="00116A5F">
        <w:rPr>
          <w:rFonts w:ascii="Helvetica" w:eastAsia="宋体" w:hAnsi="Helvetica" w:cs="Helvetica"/>
          <w:color w:val="3E3E3E"/>
          <w:kern w:val="0"/>
          <w:sz w:val="22"/>
        </w:rPr>
        <w:t xml:space="preserve"> </w:t>
      </w:r>
      <w:r w:rsidRPr="00116A5F">
        <w:rPr>
          <w:rFonts w:ascii="Helvetica" w:eastAsia="宋体" w:hAnsi="Helvetica" w:cs="Helvetica"/>
          <w:color w:val="3E3E3E"/>
          <w:kern w:val="0"/>
          <w:sz w:val="22"/>
        </w:rPr>
        <w:t>类管理、分别采取政策。仍以上例，钢筋的税率为</w:t>
      </w:r>
      <w:r w:rsidRPr="00116A5F">
        <w:rPr>
          <w:rFonts w:ascii="Helvetica" w:eastAsia="宋体" w:hAnsi="Helvetica" w:cs="Helvetica"/>
          <w:color w:val="3E3E3E"/>
          <w:kern w:val="0"/>
          <w:sz w:val="22"/>
        </w:rPr>
        <w:t>17%,</w:t>
      </w:r>
      <w:r w:rsidRPr="00116A5F">
        <w:rPr>
          <w:rFonts w:ascii="Helvetica" w:eastAsia="宋体" w:hAnsi="Helvetica" w:cs="Helvetica"/>
          <w:color w:val="3E3E3E"/>
          <w:kern w:val="0"/>
          <w:sz w:val="22"/>
        </w:rPr>
        <w:t>钢筋的可抵扣税款为</w:t>
      </w:r>
      <w:r w:rsidRPr="00116A5F">
        <w:rPr>
          <w:rFonts w:ascii="Helvetica" w:eastAsia="宋体" w:hAnsi="Helvetica" w:cs="Helvetica"/>
          <w:color w:val="3E3E3E"/>
          <w:kern w:val="0"/>
          <w:sz w:val="22"/>
        </w:rPr>
        <w:t>85</w:t>
      </w:r>
      <w:r w:rsidRPr="00116A5F">
        <w:rPr>
          <w:rFonts w:ascii="Helvetica" w:eastAsia="宋体" w:hAnsi="Helvetica" w:cs="Helvetica"/>
          <w:color w:val="3E3E3E"/>
          <w:kern w:val="0"/>
          <w:sz w:val="22"/>
        </w:rPr>
        <w:t>万（</w:t>
      </w:r>
      <w:r w:rsidRPr="00116A5F">
        <w:rPr>
          <w:rFonts w:ascii="Helvetica" w:eastAsia="宋体" w:hAnsi="Helvetica" w:cs="Helvetica"/>
          <w:color w:val="3E3E3E"/>
          <w:kern w:val="0"/>
          <w:sz w:val="22"/>
        </w:rPr>
        <w:t>500×17%</w:t>
      </w:r>
      <w:r w:rsidRPr="00116A5F">
        <w:rPr>
          <w:rFonts w:ascii="Helvetica" w:eastAsia="宋体" w:hAnsi="Helvetica" w:cs="Helvetica"/>
          <w:color w:val="3E3E3E"/>
          <w:kern w:val="0"/>
          <w:sz w:val="22"/>
        </w:rPr>
        <w:t>），商品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的征收率为</w:t>
      </w:r>
      <w:r w:rsidRPr="00116A5F">
        <w:rPr>
          <w:rFonts w:ascii="Helvetica" w:eastAsia="宋体" w:hAnsi="Helvetica" w:cs="Helvetica"/>
          <w:color w:val="3E3E3E"/>
          <w:kern w:val="0"/>
          <w:sz w:val="22"/>
        </w:rPr>
        <w:t>3%</w:t>
      </w:r>
      <w:r w:rsidRPr="00116A5F">
        <w:rPr>
          <w:rFonts w:ascii="Helvetica" w:eastAsia="宋体" w:hAnsi="Helvetica" w:cs="Helvetica"/>
          <w:color w:val="3E3E3E"/>
          <w:kern w:val="0"/>
          <w:sz w:val="22"/>
        </w:rPr>
        <w:t>，商品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的可抵扣税款为</w:t>
      </w:r>
      <w:r w:rsidRPr="00116A5F">
        <w:rPr>
          <w:rFonts w:ascii="Helvetica" w:eastAsia="宋体" w:hAnsi="Helvetica" w:cs="Helvetica"/>
          <w:color w:val="3E3E3E"/>
          <w:kern w:val="0"/>
          <w:sz w:val="22"/>
        </w:rPr>
        <w:t>15</w:t>
      </w:r>
      <w:r w:rsidRPr="00116A5F">
        <w:rPr>
          <w:rFonts w:ascii="Helvetica" w:eastAsia="宋体" w:hAnsi="Helvetica" w:cs="Helvetica"/>
          <w:color w:val="3E3E3E"/>
          <w:kern w:val="0"/>
          <w:sz w:val="22"/>
        </w:rPr>
        <w:t>万元（</w:t>
      </w:r>
      <w:r w:rsidRPr="00116A5F">
        <w:rPr>
          <w:rFonts w:ascii="Helvetica" w:eastAsia="宋体" w:hAnsi="Helvetica" w:cs="Helvetica"/>
          <w:color w:val="3E3E3E"/>
          <w:kern w:val="0"/>
          <w:sz w:val="22"/>
        </w:rPr>
        <w:t>500×3%</w:t>
      </w:r>
      <w:r w:rsidRPr="00116A5F">
        <w:rPr>
          <w:rFonts w:ascii="Helvetica" w:eastAsia="宋体" w:hAnsi="Helvetica" w:cs="Helvetica"/>
          <w:color w:val="3E3E3E"/>
          <w:kern w:val="0"/>
          <w:sz w:val="22"/>
        </w:rPr>
        <w:t>）。</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假定商品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按简易办法征收，按照财税〔</w:t>
      </w:r>
      <w:r w:rsidRPr="00116A5F">
        <w:rPr>
          <w:rFonts w:ascii="Helvetica" w:eastAsia="宋体" w:hAnsi="Helvetica" w:cs="Helvetica"/>
          <w:color w:val="3E3E3E"/>
          <w:kern w:val="0"/>
          <w:sz w:val="22"/>
        </w:rPr>
        <w:t>2014</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57</w:t>
      </w:r>
      <w:r w:rsidRPr="00116A5F">
        <w:rPr>
          <w:rFonts w:ascii="Helvetica" w:eastAsia="宋体" w:hAnsi="Helvetica" w:cs="Helvetica"/>
          <w:color w:val="3E3E3E"/>
          <w:kern w:val="0"/>
          <w:sz w:val="22"/>
        </w:rPr>
        <w:t>号文《财政部国家税务总局关于简并增值税征收率政策的通知》和国家税务总局公告</w:t>
      </w:r>
      <w:r w:rsidRPr="00116A5F">
        <w:rPr>
          <w:rFonts w:ascii="Helvetica" w:eastAsia="宋体" w:hAnsi="Helvetica" w:cs="Helvetica"/>
          <w:color w:val="3E3E3E"/>
          <w:kern w:val="0"/>
          <w:sz w:val="22"/>
        </w:rPr>
        <w:t>2014</w:t>
      </w:r>
      <w:r w:rsidRPr="00116A5F">
        <w:rPr>
          <w:rFonts w:ascii="Helvetica" w:eastAsia="宋体" w:hAnsi="Helvetica" w:cs="Helvetica"/>
          <w:color w:val="3E3E3E"/>
          <w:kern w:val="0"/>
          <w:sz w:val="22"/>
        </w:rPr>
        <w:t>年第</w:t>
      </w:r>
      <w:r w:rsidRPr="00116A5F">
        <w:rPr>
          <w:rFonts w:ascii="Helvetica" w:eastAsia="宋体" w:hAnsi="Helvetica" w:cs="Helvetica"/>
          <w:color w:val="3E3E3E"/>
          <w:kern w:val="0"/>
          <w:sz w:val="22"/>
        </w:rPr>
        <w:t>36</w:t>
      </w:r>
      <w:r w:rsidRPr="00116A5F">
        <w:rPr>
          <w:rFonts w:ascii="Helvetica" w:eastAsia="宋体" w:hAnsi="Helvetica" w:cs="Helvetica"/>
          <w:color w:val="3E3E3E"/>
          <w:kern w:val="0"/>
          <w:sz w:val="22"/>
        </w:rPr>
        <w:t>号文《国家税务总局关于简并增值税征收率有关问题的公告》的规定商品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征收率</w:t>
      </w:r>
      <w:r w:rsidRPr="00116A5F">
        <w:rPr>
          <w:rFonts w:ascii="Helvetica" w:eastAsia="宋体" w:hAnsi="Helvetica" w:cs="Helvetica"/>
          <w:color w:val="3E3E3E"/>
          <w:kern w:val="0"/>
          <w:sz w:val="22"/>
        </w:rPr>
        <w:t>3%</w:t>
      </w:r>
      <w:r w:rsidRPr="00116A5F">
        <w:rPr>
          <w:rFonts w:ascii="Helvetica" w:eastAsia="宋体" w:hAnsi="Helvetica" w:cs="Helvetica"/>
          <w:color w:val="3E3E3E"/>
          <w:kern w:val="0"/>
          <w:sz w:val="22"/>
        </w:rPr>
        <w:t>，全部由甲方采购，则甲方可直接抵扣税款</w:t>
      </w:r>
      <w:r w:rsidRPr="00116A5F">
        <w:rPr>
          <w:rFonts w:ascii="Helvetica" w:eastAsia="宋体" w:hAnsi="Helvetica" w:cs="Helvetica"/>
          <w:color w:val="3E3E3E"/>
          <w:kern w:val="0"/>
          <w:sz w:val="22"/>
        </w:rPr>
        <w:t>100</w:t>
      </w:r>
      <w:r w:rsidRPr="00116A5F">
        <w:rPr>
          <w:rFonts w:ascii="Helvetica" w:eastAsia="宋体" w:hAnsi="Helvetica" w:cs="Helvetica"/>
          <w:color w:val="3E3E3E"/>
          <w:kern w:val="0"/>
          <w:sz w:val="22"/>
        </w:rPr>
        <w:t>万元。</w:t>
      </w: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p>
    <w:p w:rsidR="00116A5F" w:rsidRPr="00116A5F" w:rsidRDefault="00116A5F" w:rsidP="00116A5F">
      <w:pPr>
        <w:widowControl/>
        <w:shd w:val="clear" w:color="auto" w:fill="FFFFFF"/>
        <w:spacing w:line="348" w:lineRule="atLeast"/>
        <w:jc w:val="left"/>
        <w:rPr>
          <w:rFonts w:ascii="Helvetica" w:eastAsia="宋体" w:hAnsi="Helvetica" w:cs="Helvetica"/>
          <w:color w:val="3E3E3E"/>
          <w:kern w:val="0"/>
          <w:sz w:val="22"/>
        </w:rPr>
      </w:pPr>
      <w:r w:rsidRPr="00116A5F">
        <w:rPr>
          <w:rFonts w:ascii="Helvetica" w:eastAsia="宋体" w:hAnsi="Helvetica" w:cs="Helvetica"/>
          <w:color w:val="3E3E3E"/>
          <w:kern w:val="0"/>
          <w:sz w:val="22"/>
        </w:rPr>
        <w:t>如果甲方决定只采购钢筋，商品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交由乙方采购，则甲方可抵扣的税款为：甲自采钢筋的税款和乙方开来的商品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部分的建筑业</w:t>
      </w:r>
      <w:r w:rsidRPr="00116A5F">
        <w:rPr>
          <w:rFonts w:ascii="Helvetica" w:eastAsia="宋体" w:hAnsi="Helvetica" w:cs="Helvetica"/>
          <w:color w:val="3E3E3E"/>
          <w:kern w:val="0"/>
          <w:sz w:val="22"/>
        </w:rPr>
        <w:t>11%</w:t>
      </w:r>
      <w:r w:rsidRPr="00116A5F">
        <w:rPr>
          <w:rFonts w:ascii="Helvetica" w:eastAsia="宋体" w:hAnsi="Helvetica" w:cs="Helvetica"/>
          <w:color w:val="3E3E3E"/>
          <w:kern w:val="0"/>
          <w:sz w:val="22"/>
        </w:rPr>
        <w:t>税率的税款：</w:t>
      </w:r>
      <w:r w:rsidRPr="00116A5F">
        <w:rPr>
          <w:rFonts w:ascii="Helvetica" w:eastAsia="宋体" w:hAnsi="Helvetica" w:cs="Helvetica"/>
          <w:color w:val="3E3E3E"/>
          <w:kern w:val="0"/>
          <w:sz w:val="22"/>
        </w:rPr>
        <w:t>140</w:t>
      </w:r>
      <w:r w:rsidRPr="00116A5F">
        <w:rPr>
          <w:rFonts w:ascii="Helvetica" w:eastAsia="宋体" w:hAnsi="Helvetica" w:cs="Helvetica"/>
          <w:color w:val="3E3E3E"/>
          <w:kern w:val="0"/>
          <w:sz w:val="22"/>
        </w:rPr>
        <w:t>万元（</w:t>
      </w:r>
      <w:r w:rsidRPr="00116A5F">
        <w:rPr>
          <w:rFonts w:ascii="Helvetica" w:eastAsia="宋体" w:hAnsi="Helvetica" w:cs="Helvetica"/>
          <w:color w:val="3E3E3E"/>
          <w:kern w:val="0"/>
          <w:sz w:val="22"/>
        </w:rPr>
        <w:t>85+500×11%</w:t>
      </w:r>
      <w:r w:rsidRPr="00116A5F">
        <w:rPr>
          <w:rFonts w:ascii="Helvetica" w:eastAsia="宋体" w:hAnsi="Helvetica" w:cs="Helvetica"/>
          <w:color w:val="3E3E3E"/>
          <w:kern w:val="0"/>
          <w:sz w:val="22"/>
        </w:rPr>
        <w:t>），这样甲方可多抵扣</w:t>
      </w:r>
      <w:r w:rsidRPr="00116A5F">
        <w:rPr>
          <w:rFonts w:ascii="Helvetica" w:eastAsia="宋体" w:hAnsi="Helvetica" w:cs="Helvetica"/>
          <w:color w:val="3E3E3E"/>
          <w:kern w:val="0"/>
          <w:sz w:val="22"/>
        </w:rPr>
        <w:t>40</w:t>
      </w:r>
      <w:r w:rsidRPr="00116A5F">
        <w:rPr>
          <w:rFonts w:ascii="Helvetica" w:eastAsia="宋体" w:hAnsi="Helvetica" w:cs="Helvetica"/>
          <w:color w:val="3E3E3E"/>
          <w:kern w:val="0"/>
          <w:sz w:val="22"/>
        </w:rPr>
        <w:t>万元。同样道理，对于钢筋乙方采购，乙方将获得</w:t>
      </w:r>
      <w:r w:rsidRPr="00116A5F">
        <w:rPr>
          <w:rFonts w:ascii="Helvetica" w:eastAsia="宋体" w:hAnsi="Helvetica" w:cs="Helvetica"/>
          <w:color w:val="3E3E3E"/>
          <w:kern w:val="0"/>
          <w:sz w:val="22"/>
        </w:rPr>
        <w:t>30</w:t>
      </w:r>
      <w:r w:rsidRPr="00116A5F">
        <w:rPr>
          <w:rFonts w:ascii="Helvetica" w:eastAsia="宋体" w:hAnsi="Helvetica" w:cs="Helvetica"/>
          <w:color w:val="3E3E3E"/>
          <w:kern w:val="0"/>
          <w:sz w:val="22"/>
        </w:rPr>
        <w:t>万元</w:t>
      </w:r>
      <w:r w:rsidRPr="00116A5F">
        <w:rPr>
          <w:rFonts w:ascii="Helvetica" w:eastAsia="宋体" w:hAnsi="Helvetica" w:cs="Helvetica"/>
          <w:color w:val="3E3E3E"/>
          <w:kern w:val="0"/>
          <w:sz w:val="22"/>
        </w:rPr>
        <w:t>[500×</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17%-11%</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税差，而乙方采购商品</w:t>
      </w:r>
      <w:proofErr w:type="gramStart"/>
      <w:r w:rsidRPr="00116A5F">
        <w:rPr>
          <w:rFonts w:ascii="Helvetica" w:eastAsia="宋体" w:hAnsi="Helvetica" w:cs="Helvetica"/>
          <w:color w:val="3E3E3E"/>
          <w:kern w:val="0"/>
          <w:sz w:val="22"/>
        </w:rPr>
        <w:t>砼</w:t>
      </w:r>
      <w:proofErr w:type="gramEnd"/>
      <w:r w:rsidRPr="00116A5F">
        <w:rPr>
          <w:rFonts w:ascii="Helvetica" w:eastAsia="宋体" w:hAnsi="Helvetica" w:cs="Helvetica"/>
          <w:color w:val="3E3E3E"/>
          <w:kern w:val="0"/>
          <w:sz w:val="22"/>
        </w:rPr>
        <w:t>则乙方将损失</w:t>
      </w:r>
      <w:r w:rsidRPr="00116A5F">
        <w:rPr>
          <w:rFonts w:ascii="Helvetica" w:eastAsia="宋体" w:hAnsi="Helvetica" w:cs="Helvetica"/>
          <w:color w:val="3E3E3E"/>
          <w:kern w:val="0"/>
          <w:sz w:val="22"/>
        </w:rPr>
        <w:t>40</w:t>
      </w:r>
      <w:r w:rsidRPr="00116A5F">
        <w:rPr>
          <w:rFonts w:ascii="Helvetica" w:eastAsia="宋体" w:hAnsi="Helvetica" w:cs="Helvetica"/>
          <w:color w:val="3E3E3E"/>
          <w:kern w:val="0"/>
          <w:sz w:val="22"/>
        </w:rPr>
        <w:t>万元</w:t>
      </w:r>
      <w:r w:rsidRPr="00116A5F">
        <w:rPr>
          <w:rFonts w:ascii="Helvetica" w:eastAsia="宋体" w:hAnsi="Helvetica" w:cs="Helvetica"/>
          <w:color w:val="3E3E3E"/>
          <w:kern w:val="0"/>
          <w:sz w:val="22"/>
        </w:rPr>
        <w:t>[500×</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11%-3%</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w:t>
      </w:r>
      <w:r w:rsidRPr="00116A5F">
        <w:rPr>
          <w:rFonts w:ascii="Helvetica" w:eastAsia="宋体" w:hAnsi="Helvetica" w:cs="Helvetica"/>
          <w:color w:val="3E3E3E"/>
          <w:kern w:val="0"/>
          <w:sz w:val="22"/>
        </w:rPr>
        <w:t>税差。哪方采购、采购何种货品涉及到实实在在的利益，所以</w:t>
      </w:r>
      <w:r w:rsidRPr="00116A5F">
        <w:rPr>
          <w:rFonts w:ascii="Helvetica" w:eastAsia="宋体" w:hAnsi="Helvetica" w:cs="Helvetica"/>
          <w:color w:val="00B0F0"/>
          <w:kern w:val="0"/>
          <w:sz w:val="22"/>
        </w:rPr>
        <w:t>“</w:t>
      </w:r>
      <w:r w:rsidRPr="00116A5F">
        <w:rPr>
          <w:rFonts w:ascii="Helvetica" w:eastAsia="宋体" w:hAnsi="Helvetica" w:cs="Helvetica"/>
          <w:color w:val="00B0F0"/>
          <w:kern w:val="0"/>
          <w:sz w:val="22"/>
        </w:rPr>
        <w:t>营改增</w:t>
      </w:r>
      <w:r w:rsidRPr="00116A5F">
        <w:rPr>
          <w:rFonts w:ascii="Helvetica" w:eastAsia="宋体" w:hAnsi="Helvetica" w:cs="Helvetica"/>
          <w:color w:val="00B0F0"/>
          <w:kern w:val="0"/>
          <w:sz w:val="22"/>
        </w:rPr>
        <w:t>”</w:t>
      </w:r>
      <w:r w:rsidRPr="00116A5F">
        <w:rPr>
          <w:rFonts w:ascii="Helvetica" w:eastAsia="宋体" w:hAnsi="Helvetica" w:cs="Helvetica"/>
          <w:color w:val="00B0F0"/>
          <w:kern w:val="0"/>
          <w:sz w:val="22"/>
        </w:rPr>
        <w:t>后双方需要在商务谈判、合同签订等过程中协商好，以达到双方税负的大体均衡。</w:t>
      </w:r>
    </w:p>
    <w:p w:rsidR="00272281" w:rsidRPr="00116A5F" w:rsidRDefault="00272281"/>
    <w:sectPr w:rsidR="00272281" w:rsidRPr="00116A5F" w:rsidSect="00272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A5F"/>
    <w:rsid w:val="00116A5F"/>
    <w:rsid w:val="00272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81"/>
    <w:pPr>
      <w:widowControl w:val="0"/>
      <w:jc w:val="both"/>
    </w:pPr>
  </w:style>
  <w:style w:type="paragraph" w:styleId="2">
    <w:name w:val="heading 2"/>
    <w:basedOn w:val="a"/>
    <w:link w:val="2Char"/>
    <w:uiPriority w:val="9"/>
    <w:qFormat/>
    <w:rsid w:val="00116A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6A5F"/>
    <w:rPr>
      <w:rFonts w:ascii="宋体" w:eastAsia="宋体" w:hAnsi="宋体" w:cs="宋体"/>
      <w:b/>
      <w:bCs/>
      <w:kern w:val="0"/>
      <w:sz w:val="36"/>
      <w:szCs w:val="36"/>
    </w:rPr>
  </w:style>
  <w:style w:type="character" w:styleId="a3">
    <w:name w:val="Emphasis"/>
    <w:basedOn w:val="a0"/>
    <w:uiPriority w:val="20"/>
    <w:qFormat/>
    <w:rsid w:val="00116A5F"/>
    <w:rPr>
      <w:i/>
      <w:iCs/>
    </w:rPr>
  </w:style>
  <w:style w:type="character" w:customStyle="1" w:styleId="apple-converted-space">
    <w:name w:val="apple-converted-space"/>
    <w:basedOn w:val="a0"/>
    <w:rsid w:val="00116A5F"/>
  </w:style>
  <w:style w:type="character" w:styleId="a4">
    <w:name w:val="Hyperlink"/>
    <w:basedOn w:val="a0"/>
    <w:uiPriority w:val="99"/>
    <w:semiHidden/>
    <w:unhideWhenUsed/>
    <w:rsid w:val="00116A5F"/>
    <w:rPr>
      <w:color w:val="0000FF"/>
      <w:u w:val="single"/>
    </w:rPr>
  </w:style>
  <w:style w:type="paragraph" w:styleId="a5">
    <w:name w:val="Normal (Web)"/>
    <w:basedOn w:val="a"/>
    <w:uiPriority w:val="99"/>
    <w:semiHidden/>
    <w:unhideWhenUsed/>
    <w:rsid w:val="00116A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6A5F"/>
    <w:rPr>
      <w:b/>
      <w:bCs/>
    </w:rPr>
  </w:style>
</w:styles>
</file>

<file path=word/webSettings.xml><?xml version="1.0" encoding="utf-8"?>
<w:webSettings xmlns:r="http://schemas.openxmlformats.org/officeDocument/2006/relationships" xmlns:w="http://schemas.openxmlformats.org/wordprocessingml/2006/main">
  <w:divs>
    <w:div w:id="50814560">
      <w:bodyDiv w:val="1"/>
      <w:marLeft w:val="0"/>
      <w:marRight w:val="0"/>
      <w:marTop w:val="0"/>
      <w:marBottom w:val="0"/>
      <w:divBdr>
        <w:top w:val="none" w:sz="0" w:space="0" w:color="auto"/>
        <w:left w:val="none" w:sz="0" w:space="0" w:color="auto"/>
        <w:bottom w:val="none" w:sz="0" w:space="0" w:color="auto"/>
        <w:right w:val="none" w:sz="0" w:space="0" w:color="auto"/>
      </w:divBdr>
      <w:divsChild>
        <w:div w:id="414715151">
          <w:marLeft w:val="0"/>
          <w:marRight w:val="0"/>
          <w:marTop w:val="0"/>
          <w:marBottom w:val="245"/>
          <w:divBdr>
            <w:top w:val="none" w:sz="0" w:space="0" w:color="auto"/>
            <w:left w:val="none" w:sz="0" w:space="0" w:color="auto"/>
            <w:bottom w:val="none" w:sz="0" w:space="0" w:color="auto"/>
            <w:right w:val="none" w:sz="0" w:space="0" w:color="auto"/>
          </w:divBdr>
        </w:div>
        <w:div w:id="12605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2202</Characters>
  <Application>Microsoft Office Word</Application>
  <DocSecurity>0</DocSecurity>
  <Lines>18</Lines>
  <Paragraphs>5</Paragraphs>
  <ScaleCrop>false</ScaleCrop>
  <Company>MS</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2016-03-15T06:17:00Z</dcterms:created>
  <dcterms:modified xsi:type="dcterms:W3CDTF">2016-03-15T06:18:00Z</dcterms:modified>
</cp:coreProperties>
</file>