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569EC" w:rsidRPr="00B569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569EC" w:rsidRPr="00B569EC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69EC" w:rsidRPr="00B569EC" w:rsidRDefault="00B569EC" w:rsidP="00B569EC">
                  <w:pPr>
                    <w:widowControl/>
                    <w:spacing w:before="300" w:after="225" w:line="432" w:lineRule="auto"/>
                    <w:jc w:val="center"/>
                    <w:rPr>
                      <w:rFonts w:ascii="ˎ̥" w:eastAsia="宋体" w:hAnsi="ˎ̥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B569EC">
                    <w:rPr>
                      <w:rFonts w:ascii="ˎ̥" w:eastAsia="宋体" w:hAnsi="ˎ̥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关于取消、调整部分政府性基金有关政策的通知</w:t>
                  </w:r>
                  <w:r w:rsidRPr="00B569EC">
                    <w:rPr>
                      <w:rFonts w:ascii="ˎ̥" w:eastAsia="宋体" w:hAnsi="ˎ̥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B569EC" w:rsidRPr="00B569EC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69EC" w:rsidRPr="00B569EC" w:rsidRDefault="00B569EC" w:rsidP="00B569EC">
                  <w:pPr>
                    <w:widowControl/>
                    <w:spacing w:line="15" w:lineRule="atLeast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B569E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  <w:tr w:rsidR="00B569EC" w:rsidRPr="00B569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69EC" w:rsidRPr="00B569EC" w:rsidRDefault="00B569EC" w:rsidP="00B569EC">
                  <w:pPr>
                    <w:widowControl/>
                    <w:spacing w:line="432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569EC" w:rsidRPr="00B569EC" w:rsidRDefault="00B569EC" w:rsidP="00B569EC">
            <w:pPr>
              <w:widowControl/>
              <w:spacing w:line="432" w:lineRule="auto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B569EC" w:rsidRPr="00B569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569EC" w:rsidRPr="00B569EC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B569EC" w:rsidRPr="00B569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财税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[2017]18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发展改革委、住房城乡建设部、商务部、水利部、税务总局、中国残联，各省、自治区、直辖市财政厅（</w:t>
                        </w:r>
                        <w:bookmarkStart w:id="0" w:name="_GoBack"/>
                        <w:bookmarkEnd w:id="0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局）：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为切实减轻企业负担，促进实体经济发展，经国务院批准，现就取消、调整部分政府性基金有关政策通知如下：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一、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  <w:highlight w:val="yellow"/>
                          </w:rPr>
                          <w:t>取消城市公用事业附加和新型墙</w:t>
                        </w:r>
                        <w:proofErr w:type="gramStart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  <w:highlight w:val="yellow"/>
                          </w:rPr>
                          <w:t>体材</w:t>
                        </w:r>
                        <w:proofErr w:type="gramEnd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  <w:highlight w:val="yellow"/>
                          </w:rPr>
                          <w:t>料专项基金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。以前年度欠缴或预缴的上述政府性基金，相关执收单位应当足额征收或及时清算，并按照财政部门规定的渠道全额上缴国库或多退少补。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二、调整残疾人就业保障金征收政策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（一）扩大残疾人就业保障金免征范围。将残疾人就业保障金免征范围，由自工商注册登记之日起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年内，在职职工总数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人（含）以下小微企业，调整为在职职工总数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30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人（含）以下的企业。调整免征范围后，工商注册登记未满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年、在职职工总数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30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人（含）以下的企业，可在剩余时期内按规定免征残疾人就业保障金。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（二）设置残疾人就业保障金征收标准上限。用人单位在职职工年平均工资未超过当地社会平均工资（用人单位所在地统计部门公布的上年度城镇单位就业人员平均工资）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倍（含）的，按用人单位在职职工年平均工资计征残疾人就业保障金；超过当地社会平均工资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倍以上的，按当地社会平均工资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倍计征残疾人就业保障金。用人单位在职职工年平均工资的计算口径，按照国家统计局关于工资总额组成的有关规定执行。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三、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“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十三五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”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期间，省、自治区、直辖市人民政府可以结合当地经济发展水平、相关公共事业和设施保障状况、社会承受能力等因素，自主决定免征、停征或减征地方水利建设基金、地方水库移民扶持基金。各省、自治区、直辖市财政部门应当将本地区出台的减免政策报财政部备案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四、各级财政部门要切实做好经费保障工作，妥善安排相关部门和单位预算，保障其依法履行职责，积极支持相关事业发展。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五、各级地区、有关部门和单位要通过广播、电视、报纸、网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lastRenderedPageBreak/>
                          <w:t>络等媒体，加强政策宣传解读，及时发布信息，做好舆论引导。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六、各地区、有关部门和单位要严格执行政府性基金管理有关规定，对公布取消、调整或减免的政府性基金，不得以任何理由拖延或者拒绝执行。有关部门要加强政策落实情况的监督检查，对违反规定的，应当按照《预算法》、《财政违法行为处罚处分条例》等法律、行政法规规定予以处理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七、本通知自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2017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4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日起执行。《财政部关于征收城市公用事业附加的几项规定》（〔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64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proofErr w:type="gramStart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财预王字</w:t>
                        </w:r>
                        <w:proofErr w:type="gramEnd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第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380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号）、《财政部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国家发展改革委关于印发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&lt;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新型墙</w:t>
                        </w:r>
                        <w:proofErr w:type="gramStart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体材</w:t>
                        </w:r>
                        <w:proofErr w:type="gramEnd"/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料专项基金征收使用管理办法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&gt;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的通知》（财综〔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2007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77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号）同时废止。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 w:after="240"/>
                          <w:jc w:val="righ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财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政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部</w:t>
                        </w:r>
                      </w:p>
                      <w:p w:rsidR="00B569EC" w:rsidRPr="00B569EC" w:rsidRDefault="00B569EC" w:rsidP="00B569EC">
                        <w:pPr>
                          <w:widowControl/>
                          <w:spacing w:before="100" w:beforeAutospacing="1"/>
                          <w:jc w:val="righ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2017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15</w:t>
                        </w:r>
                        <w:r w:rsidRPr="00B569EC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</w:tbl>
                <w:p w:rsidR="00B569EC" w:rsidRPr="00B569EC" w:rsidRDefault="00B569EC" w:rsidP="00B569EC">
                  <w:pPr>
                    <w:widowControl/>
                    <w:spacing w:line="432" w:lineRule="auto"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569EC" w:rsidRPr="00B569EC" w:rsidRDefault="00B569EC" w:rsidP="00B569EC">
            <w:pPr>
              <w:widowControl/>
              <w:spacing w:line="432" w:lineRule="auto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</w:tbl>
    <w:p w:rsidR="00082433" w:rsidRDefault="00B569EC"/>
    <w:sectPr w:rsidR="0008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EC"/>
    <w:rsid w:val="003D4100"/>
    <w:rsid w:val="006D15D0"/>
    <w:rsid w:val="00B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>Sky123.Org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2017-03-29T02:35:00Z</dcterms:created>
  <dcterms:modified xsi:type="dcterms:W3CDTF">2017-03-29T02:37:00Z</dcterms:modified>
</cp:coreProperties>
</file>