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16" w:hRule="atLeast"/>
          <w:jc w:val="center"/>
          <w:hidden/>
        </w:trPr>
        <w:tc>
          <w:tcPr>
            <w:tcW w:w="8306" w:type="dxa"/>
            <w:shd w:val="clear"/>
            <w:vAlign w:val="center"/>
          </w:tcPr>
          <w:p>
            <w:pPr>
              <w:rPr>
                <w:rFonts w:hint="default" w:ascii="����" w:hAnsi="����" w:eastAsia="����" w:cs="����"/>
                <w:vanish/>
                <w:color w:val="000000"/>
                <w:sz w:val="18"/>
                <w:szCs w:val="18"/>
              </w:rPr>
            </w:pPr>
          </w:p>
        </w:tc>
      </w:tr>
      <w:tr>
        <w:tblPrEx>
          <w:tblLayout w:type="fixed"/>
          <w:tblCellMar>
            <w:top w:w="0" w:type="dxa"/>
            <w:left w:w="0" w:type="dxa"/>
            <w:bottom w:w="0" w:type="dxa"/>
            <w:right w:w="0" w:type="dxa"/>
          </w:tblCellMar>
        </w:tblPrEx>
        <w:trPr>
          <w:trHeight w:val="6000" w:hRule="atLeast"/>
          <w:jc w:val="center"/>
        </w:trPr>
        <w:tc>
          <w:tcPr>
            <w:tcW w:w="8306" w:type="dxa"/>
            <w:shd w:val="clear"/>
            <w:vAlign w:val="top"/>
          </w:tcPr>
          <w:tbl>
            <w:tblPr>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06" w:type="dxa"/>
                  <w:shd w:val="clear"/>
                  <w:vAlign w:val="center"/>
                </w:tcPr>
                <w:p>
                  <w:pPr>
                    <w:pStyle w:val="2"/>
                    <w:keepNext w:val="0"/>
                    <w:keepLines w:val="0"/>
                    <w:widowControl/>
                    <w:suppressLineNumbers w:val="0"/>
                    <w:jc w:val="center"/>
                  </w:pPr>
                  <w:r>
                    <w:rPr>
                      <w:rFonts w:ascii="����" w:hAnsi="����" w:eastAsia="����" w:cs="����"/>
                      <w:b/>
                      <w:color w:val="05006C"/>
                      <w:sz w:val="34"/>
                      <w:szCs w:val="34"/>
                      <w:bdr w:val="none" w:color="auto" w:sz="0" w:space="0"/>
                    </w:rPr>
                    <w:t>省住房城乡建设厅关于公布全过程工程咨询试点企业和试点项目的</w:t>
                  </w:r>
                  <w:bookmarkStart w:id="0" w:name="_GoBack"/>
                  <w:bookmarkEnd w:id="0"/>
                  <w:r>
                    <w:rPr>
                      <w:rFonts w:ascii="����" w:hAnsi="����" w:eastAsia="����" w:cs="����"/>
                      <w:b/>
                      <w:color w:val="05006C"/>
                      <w:sz w:val="34"/>
                      <w:szCs w:val="34"/>
                      <w:bdr w:val="none" w:color="auto" w:sz="0" w:space="0"/>
                    </w:rPr>
                    <w:t>通知</w:t>
                  </w:r>
                  <w:r>
                    <w:rPr>
                      <w:rFonts w:ascii="方正仿宋_GBK" w:hAnsi="方正仿宋_GBK" w:eastAsia="方正仿宋_GBK" w:cs="方正仿宋_GBK"/>
                      <w:color w:val="000000"/>
                      <w:sz w:val="31"/>
                      <w:szCs w:val="31"/>
                      <w:bdr w:val="none" w:color="auto" w:sz="0" w:space="0"/>
                    </w:rPr>
                    <w:t>苏建科〔</w:t>
                  </w:r>
                  <w:r>
                    <w:rPr>
                      <w:rFonts w:hint="default" w:ascii="方正仿宋_GBK" w:hAnsi="方正仿宋_GBK" w:eastAsia="方正仿宋_GBK" w:cs="方正仿宋_GBK"/>
                      <w:color w:val="000000"/>
                      <w:sz w:val="36"/>
                      <w:szCs w:val="36"/>
                      <w:bdr w:val="none" w:color="auto" w:sz="0" w:space="0"/>
                    </w:rPr>
                    <w:t>2018</w:t>
                  </w:r>
                  <w:r>
                    <w:rPr>
                      <w:rFonts w:hint="default" w:ascii="方正仿宋_GBK" w:hAnsi="方正仿宋_GBK" w:eastAsia="方正仿宋_GBK" w:cs="方正仿宋_GBK"/>
                      <w:color w:val="000000"/>
                      <w:sz w:val="31"/>
                      <w:szCs w:val="31"/>
                      <w:bdr w:val="none" w:color="auto" w:sz="0" w:space="0"/>
                    </w:rPr>
                    <w:t>〕</w:t>
                  </w:r>
                  <w:r>
                    <w:rPr>
                      <w:rFonts w:hint="default" w:ascii="方正仿宋_GBK" w:hAnsi="方正仿宋_GBK" w:eastAsia="方正仿宋_GBK" w:cs="方正仿宋_GBK"/>
                      <w:color w:val="000000"/>
                      <w:sz w:val="36"/>
                      <w:szCs w:val="36"/>
                      <w:bdr w:val="none" w:color="auto" w:sz="0" w:space="0"/>
                    </w:rPr>
                    <w:t>79</w:t>
                  </w:r>
                  <w:r>
                    <w:rPr>
                      <w:rFonts w:hint="default" w:ascii="方正仿宋_GBK" w:hAnsi="方正仿宋_GBK" w:eastAsia="方正仿宋_GBK" w:cs="方正仿宋_GBK"/>
                      <w:color w:val="000000"/>
                      <w:sz w:val="31"/>
                      <w:szCs w:val="31"/>
                      <w:bdr w:val="none" w:color="auto" w:sz="0" w:space="0"/>
                    </w:rPr>
                    <w:t>号</w:t>
                  </w:r>
                  <w:r>
                    <w:rPr>
                      <w:rFonts w:ascii="Calibri" w:hAnsi="Calibri" w:eastAsia="仿宋" w:cs="Calibri"/>
                      <w:color w:val="000000"/>
                      <w:sz w:val="36"/>
                      <w:szCs w:val="36"/>
                      <w:bdr w:val="none" w:color="auto" w:sz="0" w:space="0"/>
                    </w:rPr>
                    <w:t> </w:t>
                  </w:r>
                </w:p>
                <w:p>
                  <w:pPr>
                    <w:pStyle w:val="2"/>
                    <w:keepNext w:val="0"/>
                    <w:keepLines w:val="0"/>
                    <w:widowControl/>
                    <w:suppressLineNumbers w:val="0"/>
                    <w:spacing w:line="585"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各设区市建设局（委）：</w:t>
                  </w:r>
                </w:p>
                <w:p>
                  <w:pPr>
                    <w:pStyle w:val="2"/>
                    <w:keepNext w:val="0"/>
                    <w:keepLines w:val="0"/>
                    <w:widowControl/>
                    <w:suppressLineNumbers w:val="0"/>
                    <w:spacing w:line="585" w:lineRule="atLeast"/>
                    <w:ind w:left="0"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根据《省政府关于促进建筑业改革发展的意见》（苏政发〔2017〕151号）《江苏省开展全过程工程咨询试点工作方案》和《江苏省住房城乡建设厅关于推荐全过程工程咨询试点企业和试点项目的通知》（苏建科〔2017〕556号），经企业自愿申报、各设区市建设局（委）推荐、我厅审核，现将我省全过程工程咨询试点企业和试点项目名单予以公布（具体名单详见附件），并就有关事项通知如下：</w:t>
                  </w:r>
                </w:p>
                <w:p>
                  <w:pPr>
                    <w:pStyle w:val="2"/>
                    <w:keepNext w:val="0"/>
                    <w:keepLines w:val="0"/>
                    <w:widowControl/>
                    <w:suppressLineNumbers w:val="0"/>
                    <w:spacing w:line="585" w:lineRule="atLeast"/>
                    <w:ind w:left="0"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一、提高思想认识，强化责任担当。当前，我省城市建设正在从注重速度、规模提升向注重绿色发展、高质量发展转变。工程建设高质量是城市绿色发展、高质量发展的必然要求，也是建筑业转型升级的重要目标。工程咨询服务涵盖项目策划、工程设计、工程监理、造价咨询、招标代理、项目管理等诸多业务，在提升工程建设质量和品质等方面发挥着重要作用。全省工程咨询行业要切实提高认识，主动担当作为，大胆改革创新，为推动我省城市建设高品质作出应有贡献。</w:t>
                  </w:r>
                </w:p>
                <w:p>
                  <w:pPr>
                    <w:pStyle w:val="2"/>
                    <w:keepNext w:val="0"/>
                    <w:keepLines w:val="0"/>
                    <w:widowControl/>
                    <w:suppressLineNumbers w:val="0"/>
                    <w:spacing w:line="585" w:lineRule="atLeast"/>
                    <w:ind w:left="0"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二、把握发展机遇，拓展服务领域。各试点企业要珍惜试点机遇，积极承揽全过程工程咨询业务，规范有序开展试点工作，不断积累经验，提高全过程工程咨询服务能力和水平。在试点阶段，试点企业在承揽全过程工程咨询业务时，原则上应承担项目策划、工程设计、工程监理、造价咨询、招标代理、项目管理等主要业务中的三项及以上业务。鼓励各试点企业通过兼并收购、资产重组等方式延长业务链。倡导开展以工程设计为龙头的全过程工程咨询业务。承揽全过程工程咨询业务的企业应将不在本企业资质业务范围内的业务分包给其它具有相应资质的企业。</w:t>
                  </w:r>
                </w:p>
                <w:p>
                  <w:pPr>
                    <w:pStyle w:val="2"/>
                    <w:keepNext w:val="0"/>
                    <w:keepLines w:val="0"/>
                    <w:widowControl/>
                    <w:suppressLineNumbers w:val="0"/>
                    <w:spacing w:line="585" w:lineRule="atLeast"/>
                    <w:ind w:left="0"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三、积极探索实践，提高服务水平。各试点项目的建设单位及全过程工程咨询实施单位要按照《江苏省开展全过程工程咨询试点工作方案》要求，认真组织项目实施，做好控制，切实提高工程建设水平，努力建设功能优、风貌好、绿色低碳、造价合理的高品质试点工程。在试点过程中，试点单位要积极探索和实践，及时总结经验，提出有利于全过程工程咨询健康发展的意见和建议，我厅将适时通过调研、召开座谈会等形式，听取各地各有关单位意见。</w:t>
                  </w:r>
                </w:p>
                <w:p>
                  <w:pPr>
                    <w:pStyle w:val="2"/>
                    <w:keepNext w:val="0"/>
                    <w:keepLines w:val="0"/>
                    <w:widowControl/>
                    <w:suppressLineNumbers w:val="0"/>
                    <w:spacing w:line="585" w:lineRule="atLeast"/>
                    <w:ind w:left="0" w:firstLine="6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rPr>
                    <w:t>四、突出动态考核，确保试点质量。我厅将对已公布的试点企业和试点项目进行动态考核，各试点企业应于今年11月底前向我厅报送试点工作开展情况，我厅将在梳理、汇总后向社会公布，并根据实际情况对试点企业、试点项目名单进行适时调整、重新公布。明年初，我厅将优选一批具有雄厚的专业力量、健全的全过程工程咨询服务管理体系、开展过全过程工程咨询服务并取得良好业绩的企业，命名为“江苏省全过程工程咨询示范企业”。到2020年底，全省培育100家左右示范企业。</w:t>
                  </w:r>
                </w:p>
                <w:p>
                  <w:pPr>
                    <w:pStyle w:val="2"/>
                    <w:keepNext w:val="0"/>
                    <w:keepLines w:val="0"/>
                    <w:widowControl/>
                    <w:suppressLineNumbers w:val="0"/>
                    <w:spacing w:line="585" w:lineRule="atLeast"/>
                    <w:ind w:left="0" w:firstLine="645"/>
                  </w:pPr>
                  <w:r>
                    <w:rPr>
                      <w:rFonts w:hint="eastAsia" w:asciiTheme="minorEastAsia" w:hAnsiTheme="minorEastAsia" w:eastAsiaTheme="minorEastAsia" w:cstheme="minorEastAsia"/>
                      <w:color w:val="000000"/>
                      <w:sz w:val="28"/>
                      <w:szCs w:val="28"/>
                      <w:bdr w:val="none" w:color="auto" w:sz="0" w:space="0"/>
                    </w:rPr>
                    <w:t>五、鼓励普遍参与，加强协调指导。本次公布的全过程工程咨询试点企业名单，仅供各级建设主管部门、各相关建设单位参考，不作为市场准入依据。鼓励全省工程咨询服务类企业积极开展全过程工程咨询服务。各试点企业、试点项目所在地建设主管部门要加强跟踪指导和服务保障，及时协调解决试点过程中出现的问题，确保试点工作有力有序有效推进。各设区市建设主管部门要在每季度结束后10日内上报本辖区内全过程工程咨询试点工作进展情况。</w:t>
                  </w:r>
                </w:p>
              </w:tc>
            </w:tr>
          </w:tbl>
          <w:p>
            <w:pPr>
              <w:spacing w:line="585" w:lineRule="atLeast"/>
              <w:ind w:firstLine="645"/>
              <w:rPr>
                <w:rFonts w:hint="default" w:ascii="����" w:hAnsi="����" w:eastAsia="����" w:cs="����"/>
                <w:color w:val="000000"/>
                <w:sz w:val="18"/>
                <w:szCs w:val="18"/>
              </w:rPr>
            </w:pPr>
          </w:p>
        </w:tc>
      </w:tr>
    </w:tbl>
    <w:p>
      <w:pPr>
        <w:pStyle w:val="2"/>
        <w:keepNext w:val="0"/>
        <w:keepLines w:val="0"/>
        <w:widowControl/>
        <w:suppressLineNumbers w:val="0"/>
        <w:spacing w:line="585"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附件:</w:t>
      </w:r>
      <w:r>
        <w:rPr>
          <w:rFonts w:hint="eastAsia" w:asciiTheme="minorEastAsia" w:hAnsiTheme="minorEastAsia" w:eastAsiaTheme="minorEastAsia" w:cstheme="minorEastAsia"/>
          <w:sz w:val="24"/>
          <w:szCs w:val="24"/>
          <w:bdr w:val="none" w:color="auto" w:sz="0" w:space="0"/>
        </w:rPr>
        <w:fldChar w:fldCharType="begin"/>
      </w:r>
      <w:r>
        <w:rPr>
          <w:rFonts w:hint="eastAsia" w:asciiTheme="minorEastAsia" w:hAnsiTheme="minorEastAsia" w:eastAsiaTheme="minorEastAsia" w:cstheme="minorEastAsia"/>
          <w:sz w:val="24"/>
          <w:szCs w:val="24"/>
          <w:bdr w:val="none" w:color="auto" w:sz="0" w:space="0"/>
        </w:rPr>
        <w:instrText xml:space="preserve"> HYPERLINK "http://jsszfhcxjst.jiangsu.gov.cn/module/download/downfile.jsp?classid=0&amp;filename=87065fce06264cc5a22d2adc7dfe5fc7.docx" </w:instrText>
      </w:r>
      <w:r>
        <w:rPr>
          <w:rFonts w:hint="eastAsia" w:asciiTheme="minorEastAsia" w:hAnsiTheme="minorEastAsia" w:eastAsiaTheme="minorEastAsia" w:cstheme="minorEastAsia"/>
          <w:sz w:val="24"/>
          <w:szCs w:val="24"/>
          <w:bdr w:val="none" w:color="auto" w:sz="0" w:space="0"/>
        </w:rPr>
        <w:fldChar w:fldCharType="separate"/>
      </w:r>
      <w:r>
        <w:rPr>
          <w:rStyle w:val="5"/>
          <w:rFonts w:hint="eastAsia" w:asciiTheme="minorEastAsia" w:hAnsiTheme="minorEastAsia" w:eastAsiaTheme="minorEastAsia" w:cstheme="minorEastAsia"/>
          <w:sz w:val="24"/>
          <w:szCs w:val="24"/>
          <w:bdr w:val="none" w:color="auto" w:sz="0" w:space="0"/>
        </w:rPr>
        <w:drawing>
          <wp:inline distT="0" distB="0" distL="114300" distR="114300">
            <wp:extent cx="152400" cy="1524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Theme="minorEastAsia" w:hAnsiTheme="minorEastAsia" w:eastAsiaTheme="minorEastAsia" w:cstheme="minorEastAsia"/>
          <w:sz w:val="24"/>
          <w:szCs w:val="24"/>
          <w:bdr w:val="none" w:color="auto" w:sz="0" w:space="0"/>
        </w:rPr>
        <w:t>1、江苏省全过程工程咨询试点企业名单.docx</w:t>
      </w:r>
      <w:r>
        <w:rPr>
          <w:rFonts w:hint="eastAsia" w:asciiTheme="minorEastAsia" w:hAnsiTheme="minorEastAsia" w:eastAsiaTheme="minorEastAsia" w:cstheme="minorEastAsia"/>
          <w:sz w:val="24"/>
          <w:szCs w:val="24"/>
          <w:bdr w:val="none" w:color="auto" w:sz="0" w:space="0"/>
        </w:rPr>
        <w:fldChar w:fldCharType="end"/>
      </w:r>
    </w:p>
    <w:p>
      <w:pPr>
        <w:pStyle w:val="2"/>
        <w:keepNext w:val="0"/>
        <w:keepLines w:val="0"/>
        <w:widowControl/>
        <w:suppressLineNumbers w:val="0"/>
        <w:spacing w:line="585"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 </w:t>
      </w:r>
      <w:r>
        <w:rPr>
          <w:rFonts w:hint="eastAsia" w:asciiTheme="minorEastAsia" w:hAnsiTheme="minorEastAsia" w:eastAsiaTheme="minorEastAsia" w:cstheme="minorEastAsia"/>
          <w:sz w:val="24"/>
          <w:szCs w:val="24"/>
          <w:bdr w:val="none" w:color="auto" w:sz="0" w:space="0"/>
        </w:rPr>
        <w:fldChar w:fldCharType="begin"/>
      </w:r>
      <w:r>
        <w:rPr>
          <w:rFonts w:hint="eastAsia" w:asciiTheme="minorEastAsia" w:hAnsiTheme="minorEastAsia" w:eastAsiaTheme="minorEastAsia" w:cstheme="minorEastAsia"/>
          <w:sz w:val="24"/>
          <w:szCs w:val="24"/>
          <w:bdr w:val="none" w:color="auto" w:sz="0" w:space="0"/>
        </w:rPr>
        <w:instrText xml:space="preserve"> HYPERLINK "http://jsszfhcxjst.jiangsu.gov.cn/module/download/downfile.jsp?classid=0&amp;filename=6b844da0e27748649a070912ae77ab10.docx" </w:instrText>
      </w:r>
      <w:r>
        <w:rPr>
          <w:rFonts w:hint="eastAsia" w:asciiTheme="minorEastAsia" w:hAnsiTheme="minorEastAsia" w:eastAsiaTheme="minorEastAsia" w:cstheme="minorEastAsia"/>
          <w:sz w:val="24"/>
          <w:szCs w:val="24"/>
          <w:bdr w:val="none" w:color="auto" w:sz="0" w:space="0"/>
        </w:rPr>
        <w:fldChar w:fldCharType="separate"/>
      </w:r>
      <w:r>
        <w:rPr>
          <w:rStyle w:val="5"/>
          <w:rFonts w:hint="eastAsia" w:asciiTheme="minorEastAsia" w:hAnsiTheme="minorEastAsia" w:eastAsiaTheme="minorEastAsia" w:cstheme="minorEastAsia"/>
          <w:sz w:val="24"/>
          <w:szCs w:val="24"/>
          <w:bdr w:val="none" w:color="auto" w:sz="0" w:space="0"/>
        </w:rPr>
        <w:drawing>
          <wp:inline distT="0" distB="0" distL="114300" distR="114300">
            <wp:extent cx="152400" cy="152400"/>
            <wp:effectExtent l="0" t="0" r="0" b="0"/>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Theme="minorEastAsia" w:hAnsiTheme="minorEastAsia" w:eastAsiaTheme="minorEastAsia" w:cstheme="minorEastAsia"/>
          <w:sz w:val="24"/>
          <w:szCs w:val="24"/>
          <w:bdr w:val="none" w:color="auto" w:sz="0" w:space="0"/>
        </w:rPr>
        <w:t>2、江苏省全过程工程咨询试点项目名单.docx</w:t>
      </w:r>
      <w:r>
        <w:rPr>
          <w:rFonts w:hint="eastAsia" w:asciiTheme="minorEastAsia" w:hAnsiTheme="minorEastAsia" w:eastAsiaTheme="minorEastAsia" w:cstheme="minorEastAsia"/>
          <w:sz w:val="24"/>
          <w:szCs w:val="24"/>
          <w:bdr w:val="none" w:color="auto" w:sz="0" w:space="0"/>
        </w:rPr>
        <w:fldChar w:fldCharType="end"/>
      </w:r>
      <w:r>
        <w:rPr>
          <w:rFonts w:hint="eastAsia" w:asciiTheme="minorEastAsia" w:hAnsiTheme="minorEastAsia" w:eastAsiaTheme="minorEastAsia" w:cstheme="minorEastAsia"/>
          <w:color w:val="000000"/>
          <w:sz w:val="24"/>
          <w:szCs w:val="24"/>
          <w:bdr w:val="none" w:color="auto" w:sz="0" w:space="0"/>
        </w:rPr>
        <w:t> </w:t>
      </w:r>
    </w:p>
    <w:p>
      <w:pPr>
        <w:pStyle w:val="2"/>
        <w:keepNext w:val="0"/>
        <w:keepLines w:val="0"/>
        <w:widowControl/>
        <w:suppressLineNumbers w:val="0"/>
        <w:spacing w:line="585" w:lineRule="atLeas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江苏省住房和城乡建设厅</w:t>
      </w:r>
    </w:p>
    <w:p>
      <w:pPr>
        <w:pStyle w:val="2"/>
        <w:keepNext w:val="0"/>
        <w:keepLines w:val="0"/>
        <w:widowControl/>
        <w:suppressLineNumbers w:val="0"/>
        <w:spacing w:line="585" w:lineRule="atLeas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                        2018年2月14日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61EAD"/>
    <w:rsid w:val="13661E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customStyle="1" w:styleId="7">
    <w:name w:val="ewb-ask-tt1"/>
    <w:basedOn w:val="3"/>
    <w:uiPriority w:val="0"/>
    <w:rPr>
      <w:b/>
      <w:color w:val="3577B1"/>
      <w:sz w:val="21"/>
      <w:szCs w:val="21"/>
    </w:rPr>
  </w:style>
  <w:style w:type="character" w:customStyle="1" w:styleId="8">
    <w:name w:val="ewb-ask-tt"/>
    <w:basedOn w:val="3"/>
    <w:uiPriority w:val="0"/>
    <w:rPr>
      <w:b/>
      <w:color w:val="3577B1"/>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2018-02-27T08:58:00Z</dcterms:created>
  <dc:creator>Administrator</dc:creator>
  <cp:lastModifiedBy>Administrator</cp:lastModifiedBy>
  <dcterms:modified xsi:type="dcterms:W3CDTF">2018-02-27T09:10:28Z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